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F3864"/>
          <w:sz w:val="52"/>
          <w:szCs w:val="52"/>
        </w:rPr>
        <w:t xml:space="preserve">AI-ENABLED VULNERABILITY DISCOVERY</w:t>
      </w:r>
    </w:p>
    <w:p>
      <w:pPr>
        <w:spacing w:after="80" w:before="0"/>
      </w:pPr>
      <w:r>
        <w:rPr>
          <w:rFonts w:ascii="Arial" w:cs="Arial" w:eastAsia="Arial" w:hAnsi="Arial"/>
          <w:i/>
          <w:iCs/>
          <w:color w:val="2E5DA6"/>
          <w:sz w:val="26"/>
          <w:szCs w:val="26"/>
        </w:rPr>
        <w:t xml:space="preserve">Projecting the Impact of Large Language Models on the CVE Landscape: A Five-Year Model</w:t>
      </w:r>
    </w:p>
    <w:p>
      <w:pPr>
        <w:spacing w:after="40" w:before="0"/>
      </w:pPr>
      <w:r>
        <w:rPr>
          <w:rFonts w:ascii="Arial" w:cs="Arial" w:eastAsia="Arial" w:hAnsi="Arial"/>
          <w:color w:val="595959"/>
          <w:sz w:val="20"/>
          <w:szCs w:val="20"/>
        </w:rPr>
        <w:t xml:space="preserve">April 2026  —  Literature-informed analysis</w:t>
      </w:r>
    </w:p>
    <w:p>
      <w:pPr>
        <w:pBdr>
          <w:bottom w:val="single" w:color="2E5DA6" w:sz="8" w:space="1"/>
        </w:pBdr>
        <w:spacing w:after="160" w:before="0"/>
      </w:pPr>
    </w:p>
    <w:p>
      <w:pPr>
        <w:spacing w:after="40" w:before="0"/>
      </w:pPr>
    </w:p>
    <w:p>
      <w:pPr>
        <w:pStyle w:val="Heading1"/>
        <w:spacing w:after="80" w:before="440"/>
      </w:pPr>
      <w:r>
        <w:rPr>
          <w:rFonts w:ascii="Arial" w:cs="Arial" w:eastAsia="Arial" w:hAnsi="Arial"/>
          <w:b/>
          <w:bCs/>
          <w:color w:val="1F3864"/>
          <w:sz w:val="34"/>
          <w:szCs w:val="34"/>
        </w:rPr>
        <w:t xml:space="preserve">1. Summary</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consequences of AI-enabled vulnerability discovery depend on seven factors: the total size of the software vulnerability market; the annual rate at which vulnerabilities are currently discovered and published as CVEs; the split between vulnerabilities found first by defenders and those found first by attackers; the extent to which LLMs are adopted by each side and on which portions of the codebase they focus; the capability of LLMs as discovery tools; the treatment of vendor-found vulnerabilities in new software; and the remediation capacity of the software industry. We review the published empirical literature to estimate each factor, then model the five-year consequences of LLM-assisted scanning under two scenarios that bracket the uncertainty about the true size of the vulnerability market.</w:t>
      </w:r>
    </w:p>
    <w:p>
      <w:pPr>
        <w:spacing w:after="40" w:before="0"/>
      </w:pPr>
    </w:p>
    <w:p>
      <w:pPr>
        <w:spacing w:after="140" w:before="0"/>
      </w:pPr>
      <w:r>
        <w:rPr>
          <w:rFonts w:ascii="Arial" w:cs="Arial" w:eastAsia="Arial" w:hAnsi="Arial"/>
          <w:b w:val="false"/>
          <w:bCs w:val="false"/>
          <w:i w:val="false"/>
          <w:iCs w:val="false"/>
          <w:color w:val="000000"/>
          <w:sz w:val="22"/>
          <w:szCs w:val="22"/>
        </w:rPr>
        <w:t xml:space="preserve">Our five key findings are as follows.</w:t>
      </w:r>
    </w:p>
    <w:p>
      <w:pPr>
        <w:spacing w:after="20" w:before="0"/>
      </w:pPr>
    </w:p>
    <w:p>
      <w:pPr>
        <w:pStyle w:val="ListParagraph"/>
        <w:numPr>
          <w:ilvl w:val="0"/>
          <w:numId w:val="2"/>
        </w:numPr>
        <w:spacing w:after="70" w:before="40"/>
      </w:pPr>
      <w:r>
        <w:rPr>
          <w:rFonts w:ascii="Arial" w:cs="Arial" w:eastAsia="Arial" w:hAnsi="Arial"/>
          <w:sz w:val="22"/>
          <w:szCs w:val="22"/>
        </w:rPr>
        <w:t xml:space="preserve">The Year 1 CVE surge will be extreme: depending on the size of the latent vulnerability pool, total CVE publications will rise from the current baseline of approximately 48,000 per year to between 588,800 and 1,228,800 — a twelve- to twenty-five-fold increase driven by the one-time LLM-accelerated exhaustion of accumulated legacy vulnerabilities.</w:t>
      </w:r>
    </w:p>
    <w:p>
      <w:pPr>
        <w:pStyle w:val="ListParagraph"/>
        <w:numPr>
          <w:ilvl w:val="0"/>
          <w:numId w:val="2"/>
        </w:numPr>
        <w:spacing w:after="70" w:before="40"/>
      </w:pPr>
      <w:r>
        <w:rPr>
          <w:rFonts w:ascii="Arial" w:cs="Arial" w:eastAsia="Arial" w:hAnsi="Arial"/>
          <w:sz w:val="22"/>
          <w:szCs w:val="22"/>
        </w:rPr>
        <w:t xml:space="preserve">The attacker share of CVEs rises permanently to approximately 69%: attackers, who concentrate their LLM-assisted scanning on the portion of existing software that vendors choose not to cover, become the dominant source of published CVEs in steady state — more than double the pre-LLM baseline of 33%.</w:t>
      </w:r>
    </w:p>
    <w:p>
      <w:pPr>
        <w:pStyle w:val="ListParagraph"/>
        <w:numPr>
          <w:ilvl w:val="0"/>
          <w:numId w:val="2"/>
        </w:numPr>
        <w:spacing w:after="70" w:before="40"/>
      </w:pPr>
      <w:r>
        <w:rPr>
          <w:rFonts w:ascii="Arial" w:cs="Arial" w:eastAsia="Arial" w:hAnsi="Arial"/>
          <w:sz w:val="22"/>
          <w:szCs w:val="22"/>
        </w:rPr>
        <w:t xml:space="preserve">The existing vulnerability pool depletes almost entirely in Year 1 alone, not gradually: both scenarios lose 90–91% of their existing pool in the first year, with CVE volumes falling sharply from Year 2 onward as the legacy inventory is exhausted.</w:t>
      </w:r>
    </w:p>
    <w:p>
      <w:pPr>
        <w:pStyle w:val="ListParagraph"/>
        <w:numPr>
          <w:ilvl w:val="0"/>
          <w:numId w:val="2"/>
        </w:numPr>
        <w:spacing w:after="70" w:before="40"/>
      </w:pPr>
      <w:r>
        <w:rPr>
          <w:rFonts w:ascii="Arial" w:cs="Arial" w:eastAsia="Arial" w:hAnsi="Arial"/>
          <w:sz w:val="22"/>
          <w:szCs w:val="22"/>
        </w:rPr>
        <w:t xml:space="preserve">The long-run CVE floor — approximately 26,000–27,000 per year from Year 4 onward — is set entirely by the annual residual of new-software vulnerabilities that escape LLM scanning, and is sensitive to both LLM capability improvements and the rate at which new software introduces fresh vulnerabilities.</w:t>
      </w:r>
    </w:p>
    <w:p>
      <w:pPr>
        <w:pStyle w:val="ListParagraph"/>
        <w:numPr>
          <w:ilvl w:val="0"/>
          <w:numId w:val="2"/>
        </w:numPr>
        <w:spacing w:after="70" w:before="40"/>
      </w:pPr>
      <w:r>
        <w:rPr>
          <w:rFonts w:ascii="Arial" w:cs="Arial" w:eastAsia="Arial" w:hAnsi="Arial"/>
          <w:sz w:val="22"/>
          <w:szCs w:val="22"/>
        </w:rPr>
        <w:t xml:space="preserve">Remediation capacity, not discovery, becomes the binding constraint: because disclosure obligations prevent vendors from sitting on discovered vulnerabilities, the rational response to limited patching capacity is to scan less rather than publish less — meaning vendors will self-throttle at the discovery stage, which reduces their CVE output but leaves the unscanned portion fully exposed to attacker-side LLM scanning and widens the asymmetry between attacker knowledge and defender awareness.</w:t>
      </w:r>
    </w:p>
    <w:p>
      <w:pPr>
        <w:pStyle w:val="ListParagraph"/>
        <w:numPr>
          <w:ilvl w:val="0"/>
          <w:numId w:val="2"/>
        </w:numPr>
        <w:spacing w:after="70" w:before="40"/>
      </w:pPr>
      <w:r>
        <w:rPr>
          <w:rFonts w:ascii="Arial" w:cs="Arial" w:eastAsia="Arial" w:hAnsi="Arial"/>
          <w:sz w:val="22"/>
          <w:szCs w:val="22"/>
        </w:rPr>
        <w:t xml:space="preserve">Reducing LLM capability from 80% to 60% does not avert the surge: Year 1 CVEs remain 4.2×–9.2× the baseline; the Year 1 attacker share is unchanged because both sides are weakened proportionally; and the long-run CVE floor is higher (not lower) because more vulnerabilities escape scanning each year; averting the tsunami would require LLM capability of ~5–7%, inconsistent with demonstrated performance.</w:t>
      </w:r>
    </w:p>
    <w:p>
      <w:pPr>
        <w:spacing w:after="80" w:before="0"/>
      </w:pPr>
    </w:p>
    <w:p>
      <w:pPr>
        <w:pStyle w:val="Heading1"/>
        <w:spacing w:after="80" w:before="440"/>
      </w:pPr>
      <w:r>
        <w:rPr>
          <w:rFonts w:ascii="Arial" w:cs="Arial" w:eastAsia="Arial" w:hAnsi="Arial"/>
          <w:b/>
          <w:bCs/>
          <w:color w:val="1F3864"/>
          <w:sz w:val="34"/>
          <w:szCs w:val="34"/>
        </w:rPr>
        <w:t xml:space="preserve">2. Introduction</w:t>
      </w:r>
    </w:p>
    <w:p>
      <w:pPr>
        <w:spacing w:after="30" w:before="0"/>
      </w:pPr>
    </w:p>
    <w:p>
      <w:pPr>
        <w:spacing w:after="140" w:before="0"/>
      </w:pPr>
      <w:r>
        <w:rPr>
          <w:rFonts w:ascii="Arial" w:cs="Arial" w:eastAsia="Arial" w:hAnsi="Arial"/>
          <w:b w:val="false"/>
          <w:bCs w:val="false"/>
          <w:i w:val="false"/>
          <w:iCs w:val="false"/>
          <w:color w:val="000000"/>
          <w:sz w:val="22"/>
          <w:szCs w:val="22"/>
        </w:rPr>
        <w:t xml:space="preserve">Software vulnerabilities are weaknesses in code that can be exploited by attackers to gain unauthorised access, steal data, disrupt services, or take control of systems. For decades, the primary mechanism for managing this risk has been the Common Vulnerabilities and Exposures (CVE) programme: a publicly maintained catalogue in which known vulnerabilities are assigned a unique identifier, a severity score, and a remediation reference. CVEs are the primary currency of the software security industry. Patch prioritisation, threat intelligence feeds, regulatory compliance frameworks, and cyber insurance underwriting all depend on the CVE ecosystem.</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CVE pipeline has a fundamental structure: vulnerabilities must be found, disclosed, assigned an identifier, and then remediated. Each step is rate-limited by human capacity — the number of researchers who can analyse code, the number of vendors who can triage reports, and the number of engineers who can develop and deploy patches. Until recently, this rate-limiting was most acute at the discovery end: finding vulnerabilities in large, complex codebases is skilled, time-consuming work.</w:t>
      </w:r>
    </w:p>
    <w:p>
      <w:pPr>
        <w:spacing w:after="30" w:before="0"/>
      </w:pPr>
    </w:p>
    <w:p>
      <w:pPr>
        <w:spacing w:after="140" w:before="0"/>
      </w:pPr>
      <w:r>
        <w:rPr>
          <w:rFonts w:ascii="Arial" w:cs="Arial" w:eastAsia="Arial" w:hAnsi="Arial"/>
          <w:b w:val="false"/>
          <w:bCs w:val="false"/>
          <w:i w:val="false"/>
          <w:iCs w:val="false"/>
          <w:color w:val="000000"/>
          <w:sz w:val="22"/>
          <w:szCs w:val="22"/>
        </w:rPr>
        <w:t xml:space="preserve">Large language models (LLMs) are changing this. In 2025, Anthropic’s Claude found 22 Firefox vulnerabilities in two weeks — including 14 rated high-severity — and identified distinct classes of logic error that conventional automated fuzzers had not previously detected (Mozilla, 2025). Google’s OSS-Fuzz project, now AI-assisted, has accelerated vulnerability discovery across hundreds of open-source codebases. The Internet Bug Bounty programme, administered by HackerOne, paused new submissions in 2025 because AI-assisted research had expanded discovery faster than maintainers could remediate findings. These are not forecasts: they are events that have already occurred.</w:t>
      </w:r>
    </w:p>
    <w:p>
      <w:pPr>
        <w:spacing w:after="30" w:before="0"/>
      </w:pPr>
    </w:p>
    <w:p>
      <w:pPr>
        <w:spacing w:after="140" w:before="0"/>
      </w:pPr>
      <w:r>
        <w:rPr>
          <w:rFonts w:ascii="Arial" w:cs="Arial" w:eastAsia="Arial" w:hAnsi="Arial"/>
          <w:b w:val="false"/>
          <w:bCs w:val="false"/>
          <w:i w:val="false"/>
          <w:iCs w:val="false"/>
          <w:color w:val="000000"/>
          <w:sz w:val="22"/>
          <w:szCs w:val="22"/>
        </w:rPr>
        <w:t xml:space="preserve">Commentary on this development has largely focused on the near-term: analysts have noted that LLM-assisted scanning is likely to increase CVE volumes in the short term as more vulnerabilities are surfaced. What has not yet been published is a systematic model of the multi-year consequences — how the CVE landscape evolves after the initial surge, how the balance between defender-found and attacker-found CVEs shifts, and what the long-run equilibrium looks like once AI-assisted scanning becomes widespread on both sides of the divide.</w:t>
      </w:r>
    </w:p>
    <w:p>
      <w:pPr>
        <w:spacing w:after="40" w:before="0"/>
      </w:pPr>
    </w:p>
    <w:p>
      <w:pPr>
        <w:spacing w:after="140" w:before="0"/>
      </w:pPr>
      <w:r>
        <w:rPr>
          <w:rFonts w:ascii="Arial" w:cs="Arial" w:eastAsia="Arial" w:hAnsi="Arial"/>
          <w:b w:val="false"/>
          <w:bCs w:val="false"/>
          <w:i w:val="false"/>
          <w:iCs w:val="false"/>
          <w:color w:val="000000"/>
          <w:sz w:val="22"/>
          <w:szCs w:val="22"/>
        </w:rPr>
        <w:t xml:space="preserve">This paper provides that model. The consequences of AI-enabled vulnerability discovery depend on a set of factors that can be estimated from the published literature. Those factors are:</w:t>
      </w:r>
    </w:p>
    <w:p>
      <w:pPr>
        <w:spacing w:after="20" w:before="0"/>
      </w:pPr>
    </w:p>
    <w:p>
      <w:pPr>
        <w:pStyle w:val="ListParagraph"/>
        <w:numPr>
          <w:ilvl w:val="0"/>
          <w:numId w:val="2"/>
        </w:numPr>
        <w:spacing w:after="70" w:before="40"/>
      </w:pPr>
      <w:r>
        <w:rPr>
          <w:rFonts w:ascii="Arial" w:cs="Arial" w:eastAsia="Arial" w:hAnsi="Arial"/>
          <w:sz w:val="22"/>
          <w:szCs w:val="22"/>
        </w:rPr>
        <w:t xml:space="preserve">The total size of the software vulnerability market — how many exploitable vulnerabilities exist in deployed software at any given time, the majority of which are not yet publicly known.</w:t>
      </w:r>
    </w:p>
    <w:p>
      <w:pPr>
        <w:pStyle w:val="ListParagraph"/>
        <w:numPr>
          <w:ilvl w:val="0"/>
          <w:numId w:val="2"/>
        </w:numPr>
        <w:spacing w:after="70" w:before="40"/>
      </w:pPr>
      <w:r>
        <w:rPr>
          <w:rFonts w:ascii="Arial" w:cs="Arial" w:eastAsia="Arial" w:hAnsi="Arial"/>
          <w:sz w:val="22"/>
          <w:szCs w:val="22"/>
        </w:rPr>
        <w:t xml:space="preserve">The annual rate at which vulnerabilities are currently discovered and published as CVEs, expressed as a fraction of the total market.</w:t>
      </w:r>
    </w:p>
    <w:p>
      <w:pPr>
        <w:pStyle w:val="ListParagraph"/>
        <w:numPr>
          <w:ilvl w:val="0"/>
          <w:numId w:val="2"/>
        </w:numPr>
        <w:spacing w:after="70" w:before="40"/>
      </w:pPr>
      <w:r>
        <w:rPr>
          <w:rFonts w:ascii="Arial" w:cs="Arial" w:eastAsia="Arial" w:hAnsi="Arial"/>
          <w:sz w:val="22"/>
          <w:szCs w:val="22"/>
        </w:rPr>
        <w:t xml:space="preserve">The split between vulnerabilities found first by defenders (vendors, researchers, bug bounty participants) and those found first by attackers, and how each type of discovery flows through to the published CVE count.</w:t>
      </w:r>
    </w:p>
    <w:p>
      <w:pPr>
        <w:pStyle w:val="ListParagraph"/>
        <w:numPr>
          <w:ilvl w:val="0"/>
          <w:numId w:val="2"/>
        </w:numPr>
        <w:spacing w:after="70" w:before="40"/>
      </w:pPr>
      <w:r>
        <w:rPr>
          <w:rFonts w:ascii="Arial" w:cs="Arial" w:eastAsia="Arial" w:hAnsi="Arial"/>
          <w:sz w:val="22"/>
          <w:szCs w:val="22"/>
        </w:rPr>
        <w:t xml:space="preserve">The extent to which LLMs are adopted by defenders versus attackers, and on which portions of the installed software base each side focuses their scanning.</w:t>
      </w:r>
    </w:p>
    <w:p>
      <w:pPr>
        <w:pStyle w:val="ListParagraph"/>
        <w:numPr>
          <w:ilvl w:val="0"/>
          <w:numId w:val="2"/>
        </w:numPr>
        <w:spacing w:after="70" w:before="40"/>
      </w:pPr>
      <w:r>
        <w:rPr>
          <w:rFonts w:ascii="Arial" w:cs="Arial" w:eastAsia="Arial" w:hAnsi="Arial"/>
          <w:sz w:val="22"/>
          <w:szCs w:val="22"/>
        </w:rPr>
        <w:t xml:space="preserve">The capability of LLMs as vulnerability discovery tools — what fraction of vulnerabilities in scanned code they can be expected to identify.</w:t>
      </w:r>
    </w:p>
    <w:p>
      <w:pPr>
        <w:pStyle w:val="ListParagraph"/>
        <w:numPr>
          <w:ilvl w:val="0"/>
          <w:numId w:val="2"/>
        </w:numPr>
        <w:spacing w:after="70" w:before="40"/>
      </w:pPr>
      <w:r>
        <w:rPr>
          <w:rFonts w:ascii="Arial" w:cs="Arial" w:eastAsia="Arial" w:hAnsi="Arial"/>
          <w:sz w:val="22"/>
          <w:szCs w:val="22"/>
        </w:rPr>
        <w:t xml:space="preserve">The treatment of vendor-found vulnerabilities in new software — how many are disclosed as CVEs versus fixed silently before release.</w:t>
      </w:r>
    </w:p>
    <w:p>
      <w:pPr>
        <w:pStyle w:val="ListParagraph"/>
        <w:numPr>
          <w:ilvl w:val="0"/>
          <w:numId w:val="2"/>
        </w:numPr>
        <w:spacing w:after="70" w:before="40"/>
      </w:pPr>
      <w:r>
        <w:rPr>
          <w:rFonts w:ascii="Arial" w:cs="Arial" w:eastAsia="Arial" w:hAnsi="Arial"/>
          <w:sz w:val="22"/>
          <w:szCs w:val="22"/>
        </w:rPr>
        <w:t xml:space="preserve">The remediation capacity of the software industry — how quickly published CVEs are patched, and whether that capacity can absorb a large increase in disclosure volumes.</w:t>
      </w:r>
    </w:p>
    <w:p>
      <w:pPr>
        <w:spacing w:after="40" w:before="0"/>
      </w:pPr>
    </w:p>
    <w:p>
      <w:pPr>
        <w:spacing w:after="140" w:before="0"/>
      </w:pPr>
      <w:r>
        <w:rPr>
          <w:rFonts w:ascii="Arial" w:cs="Arial" w:eastAsia="Arial" w:hAnsi="Arial"/>
          <w:b w:val="false"/>
          <w:bCs w:val="false"/>
          <w:i w:val="false"/>
          <w:iCs w:val="false"/>
          <w:color w:val="000000"/>
          <w:sz w:val="22"/>
          <w:szCs w:val="22"/>
        </w:rPr>
        <w:t xml:space="preserve">We review the available empirical literature to estimate each factor, construct two scenarios reflecting the range of uncertainty about the size of the vulnerability market, and project CVE volumes and attacker/defender attribution over a five-year horizon from the point at which LLMs enter widespread use. We then discuss the strategic implications for security operations, vulnerability management, and software development practice.</w:t>
      </w:r>
    </w:p>
    <w:p>
      <w:pPr>
        <w:spacing w:after="80" w:before="0"/>
      </w:pPr>
    </w:p>
    <w:p>
      <w:pPr>
        <w:pStyle w:val="Heading1"/>
        <w:spacing w:after="80" w:before="440"/>
      </w:pPr>
      <w:r>
        <w:rPr>
          <w:rFonts w:ascii="Arial" w:cs="Arial" w:eastAsia="Arial" w:hAnsi="Arial"/>
          <w:b/>
          <w:bCs/>
          <w:color w:val="1F3864"/>
          <w:sz w:val="34"/>
          <w:szCs w:val="34"/>
        </w:rPr>
        <w:t xml:space="preserve">3. The Empirical Anchor: Current CVE Publication Rates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Any projection of the CVE landscape must be anchored to current, observable data. We use the 2025 CVE publication rate as our starting point. Approximately 48,000 CVEs were published in 2025, consistent with the trend reported by Bitsight (2025) of a 38% increase in CVEs between 2023 and 2025. This figure represents the pre-LLM annual CVE count — the number of vulnerabilities the industry publicly disclosed each year before AI-assisted scanning reached scale. We use it to calibrate the model’s baseline output.</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An important distinction must be drawn between the number of CVEs published and the total number of vulnerabilities found each year. Many vulnerabilities discovered by vendors in their own code during pre-release testing are fixed silently, without a CVE being assigned, because the affected code never ships to customers. The 48,000 published CVEs therefore undercount the true annual discovery rate. As derived in Section 4, the model implies that the actual number of vulnerabilities found per year — including those fixed silently before release — is approximately 80,000. The 32,000 difference represents vulnerabilities fixed pre-release by vendors: a substantial, largely invisible component of the industry’s security work.</w:t>
      </w:r>
    </w:p>
    <w:p>
      <w:pPr>
        <w:spacing w:after="4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Empirical Anchor</w:t>
            </w:r>
          </w:p>
          <w:p>
            <w:pPr>
              <w:spacing w:after="40" w:before="0"/>
            </w:pPr>
            <w:r>
              <w:rPr>
                <w:rFonts w:ascii="Arial" w:cs="Arial" w:eastAsia="Arial" w:hAnsi="Arial"/>
                <w:sz w:val="22"/>
                <w:szCs w:val="22"/>
              </w:rPr>
              <w:t xml:space="preserve">Observed CVEs published in 2025: </w:t>
            </w:r>
            <w:r>
              <w:rPr>
                <w:rFonts w:ascii="Arial" w:cs="Arial" w:eastAsia="Arial" w:hAnsi="Arial"/>
                <w:b/>
                <w:bCs/>
                <w:color w:val="2E5DA6"/>
                <w:sz w:val="22"/>
                <w:szCs w:val="22"/>
              </w:rPr>
              <w:t xml:space="preserve">~48,000</w:t>
            </w:r>
            <w:r>
              <w:rPr>
                <w:rFonts w:ascii="Arial" w:cs="Arial" w:eastAsia="Arial" w:hAnsi="Arial"/>
                <w:sz w:val="22"/>
                <w:szCs w:val="22"/>
              </w:rPr>
              <w:t xml:space="preserve">  —  the pre-LLM baseline this model is calibrated to reproduce.</w:t>
            </w:r>
          </w:p>
          <w:p>
            <w:pPr>
              <w:spacing w:after="0" w:before="0"/>
            </w:pPr>
            <w:r>
              <w:rPr>
                <w:rFonts w:ascii="Arial" w:cs="Arial" w:eastAsia="Arial" w:hAnsi="Arial"/>
                <w:sz w:val="22"/>
                <w:szCs w:val="22"/>
              </w:rPr>
              <w:t xml:space="preserve">Implied total vulnerabilities found per year (including silent fixes): </w:t>
            </w:r>
            <w:r>
              <w:rPr>
                <w:rFonts w:ascii="Arial" w:cs="Arial" w:eastAsia="Arial" w:hAnsi="Arial"/>
                <w:b/>
                <w:bCs/>
                <w:color w:val="2E5DA6"/>
                <w:sz w:val="22"/>
                <w:szCs w:val="22"/>
              </w:rPr>
              <w:t xml:space="preserve">~80,000</w:t>
            </w:r>
            <w:r>
              <w:rPr>
                <w:rFonts w:ascii="Arial" w:cs="Arial" w:eastAsia="Arial" w:hAnsi="Arial"/>
                <w:sz w:val="22"/>
                <w:szCs w:val="22"/>
              </w:rPr>
              <w:t xml:space="preserve">  —  derived in Section 4.</w:t>
            </w:r>
          </w:p>
        </w:tc>
      </w:tr>
    </w:tbl>
    <w:p>
      <w:pPr>
        <w:spacing w:after="80" w:before="0"/>
      </w:pPr>
    </w:p>
    <w:p>
      <w:pPr>
        <w:pStyle w:val="Heading1"/>
        <w:spacing w:after="80" w:before="440"/>
      </w:pPr>
      <w:r>
        <w:rPr>
          <w:rFonts w:ascii="Arial" w:cs="Arial" w:eastAsia="Arial" w:hAnsi="Arial"/>
          <w:b/>
          <w:bCs/>
          <w:color w:val="1F3864"/>
          <w:sz w:val="34"/>
          <w:szCs w:val="34"/>
        </w:rPr>
        <w:t xml:space="preserve">4. Literature Review: Estimating the Key Factors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model requires estimates for several parameters that are not directly observable. We derive each from the published empirical literature, noting the uncertainty range where relevant.</w:t>
      </w:r>
    </w:p>
    <w:p>
      <w:pPr>
        <w:spacing w:after="60" w:before="0"/>
      </w:pPr>
    </w:p>
    <w:p>
      <w:pPr>
        <w:pStyle w:val="Heading2"/>
        <w:spacing w:after="60" w:before="280"/>
      </w:pPr>
      <w:r>
        <w:rPr>
          <w:rFonts w:ascii="Arial" w:cs="Arial" w:eastAsia="Arial" w:hAnsi="Arial"/>
          <w:b/>
          <w:bCs/>
          <w:color w:val="2E5DA6"/>
          <w:sz w:val="26"/>
          <w:szCs w:val="26"/>
        </w:rPr>
        <w:t xml:space="preserve">4.1  The Size of the Software Vulnerability Market</w:t>
      </w:r>
    </w:p>
    <w:p>
      <w:pPr>
        <w:spacing w:after="140" w:before="0"/>
      </w:pPr>
      <w:r>
        <w:rPr>
          <w:rFonts w:ascii="Arial" w:cs="Arial" w:eastAsia="Arial" w:hAnsi="Arial"/>
          <w:b w:val="false"/>
          <w:bCs w:val="false"/>
          <w:i w:val="false"/>
          <w:iCs w:val="false"/>
          <w:color w:val="000000"/>
          <w:sz w:val="22"/>
          <w:szCs w:val="22"/>
        </w:rPr>
        <w:t xml:space="preserve">The most fundamental question is: what fraction of all exploitable vulnerabilities in deployed software does the annual CVE count represent? By definition, undiscovered vulnerabilities are unknown and cannot be directly counted. However, several bodies of evidence constrain the estimate.</w:t>
      </w:r>
    </w:p>
    <w:p>
      <w:pPr>
        <w:spacing w:after="30" w:before="0"/>
      </w:pPr>
    </w:p>
    <w:p>
      <w:pPr>
        <w:spacing w:after="140" w:before="0"/>
      </w:pPr>
      <w:r>
        <w:rPr>
          <w:rFonts w:ascii="Arial" w:cs="Arial" w:eastAsia="Arial" w:hAnsi="Arial"/>
          <w:b w:val="false"/>
          <w:bCs w:val="false"/>
          <w:i w:val="false"/>
          <w:iCs w:val="false"/>
          <w:color w:val="000000"/>
          <w:sz w:val="22"/>
          <w:szCs w:val="22"/>
        </w:rPr>
        <w:t xml:space="preserve">RAND Corporation researchers Ablon and Bogart (2017) studied over 200 zero-day vulnerabilities and found that these flaws have an average lifespan of 6.9 years from private discovery to public disclosure. A 6.9-year average lifespan implies an annual discovery rate of approximately 14% as a ceiling: if the average vulnerability takes nearly seven years to surface, then roughly one-fourteenth of the pool is found each year. This provides an upper bound on how large a fraction of the market the annual CVE count represents.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 peer-reviewed analysis published in Computers &amp; Security (2023) examined the theoretical density of undiscovered vulnerabilities using computability theory, concluding that there is no reason to believe undiscovered vulnerabilities are not essentially unlimited in modern software systems. This is consistent with empirical observations: Veracode’s 2026 State of Software Security Report found that 82% of organisations carry persistent security debt — high-exploitability vulnerabilities accumulating faster than they are resolved — and that the average time to fix a discovered vulnerability has risen to 252 days, up 47% since 2020.</w:t>
      </w:r>
    </w:p>
    <w:p>
      <w:pPr>
        <w:spacing w:after="30" w:before="0"/>
      </w:pPr>
    </w:p>
    <w:p>
      <w:pPr>
        <w:spacing w:after="140" w:before="0"/>
      </w:pPr>
      <w:r>
        <w:rPr>
          <w:rFonts w:ascii="Arial" w:cs="Arial" w:eastAsia="Arial" w:hAnsi="Arial"/>
          <w:b w:val="false"/>
          <w:bCs w:val="false"/>
          <w:i w:val="false"/>
          <w:iCs w:val="false"/>
          <w:color w:val="000000"/>
          <w:sz w:val="22"/>
          <w:szCs w:val="22"/>
        </w:rPr>
        <w:t xml:space="preserve">Edgescan’s 2025 Vulnerability Statistics Report provides a further calibration: 45.4% of discovered vulnerabilities in large enterprise environments remain unpatched after 12 months. If nearly half of already-known vulnerabilities are unaddressed within a year, a discovery rate of 50% of the total market per year is implausible.</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Taken together, these sources suggest that annual CVE publications represent a small fraction of the total vulnerability market — plausibly between 14% and 20% based on empirical data, with theoretical arguments for even lower rates. We model three scenarios: Scenario 1 assumes a 10% discovery rate (market of 800,000 vulnerabilities, a conservative estimate below the RAND-implied ceiling); Scenario 2 assumes a 20% discovery rate (market of 400,000 vulnerabilities, at the upper bound of the empirically plausible range); and Scenario 3 assumes a 15% discovery rate (market of 533,333 vulnerabilities, the single-point estimate most directly consistent with the RAND 6.9-year average lifespan).</w:t>
      </w:r>
    </w:p>
    <w:p>
      <w:pPr>
        <w:spacing w:after="60" w:before="0"/>
      </w:pPr>
    </w:p>
    <w:p>
      <w:pPr>
        <w:pStyle w:val="Heading2"/>
        <w:spacing w:after="60" w:before="280"/>
      </w:pPr>
      <w:r>
        <w:rPr>
          <w:rFonts w:ascii="Arial" w:cs="Arial" w:eastAsia="Arial" w:hAnsi="Arial"/>
          <w:b/>
          <w:bCs/>
          <w:color w:val="2E5DA6"/>
          <w:sz w:val="26"/>
          <w:szCs w:val="26"/>
        </w:rPr>
        <w:t xml:space="preserve">4.2  The Defender / Attacker Discovery Split</w:t>
      </w:r>
    </w:p>
    <w:p>
      <w:pPr>
        <w:spacing w:after="140" w:before="0"/>
      </w:pPr>
      <w:r>
        <w:rPr>
          <w:rFonts w:ascii="Arial" w:cs="Arial" w:eastAsia="Arial" w:hAnsi="Arial"/>
          <w:b w:val="false"/>
          <w:bCs w:val="false"/>
          <w:i w:val="false"/>
          <w:iCs w:val="false"/>
          <w:color w:val="000000"/>
          <w:sz w:val="22"/>
          <w:szCs w:val="22"/>
        </w:rPr>
        <w:t xml:space="preserve">A central parameter is the fraction of vulnerabilities found first by defenders — vendors, researchers, and bug bounty participants — versus those found first by attackers, who may exploit them silently before disclosure. This split determines how many discovered vulnerabilities become CVEs and how many are silently weaponised.</w:t>
      </w:r>
    </w:p>
    <w:p>
      <w:pPr>
        <w:spacing w:after="30" w:before="0"/>
      </w:pPr>
    </w:p>
    <w:p>
      <w:pPr>
        <w:spacing w:after="140" w:before="0"/>
      </w:pPr>
      <w:r>
        <w:rPr>
          <w:rFonts w:ascii="Arial" w:cs="Arial" w:eastAsia="Arial" w:hAnsi="Arial"/>
          <w:b w:val="false"/>
          <w:bCs w:val="false"/>
          <w:i w:val="false"/>
          <w:iCs w:val="false"/>
          <w:color w:val="000000"/>
          <w:sz w:val="22"/>
          <w:szCs w:val="22"/>
        </w:rPr>
        <w:t xml:space="preserve">VulnCheck’s analysis of Known Exploited Vulnerabilities for H1 2025 found that 32.1% of actively exploited CVEs showed evidence of exploitation on or before the day the CVE was published — meaning attackers had already weaponised these vulnerabilities before any public disclosure. This is a lower bound on attacker-first discovery within the exploited population.</w:t>
      </w:r>
    </w:p>
    <w:p>
      <w:pPr>
        <w:spacing w:after="30" w:before="0"/>
      </w:pPr>
    </w:p>
    <w:p>
      <w:pPr>
        <w:spacing w:after="140" w:before="0"/>
      </w:pPr>
      <w:r>
        <w:rPr>
          <w:rFonts w:ascii="Arial" w:cs="Arial" w:eastAsia="Arial" w:hAnsi="Arial"/>
          <w:b w:val="false"/>
          <w:bCs w:val="false"/>
          <w:i w:val="false"/>
          <w:iCs w:val="false"/>
          <w:color w:val="000000"/>
          <w:sz w:val="22"/>
          <w:szCs w:val="22"/>
        </w:rPr>
        <w:t xml:space="preserve">Herr, Schneier and Morris (2017) analysed over 4,300 vulnerabilities across Chrome and Android and found that 15–20% of vulnerabilities are independently rediscovered within a year by two or more parties — implying significant parallel attacker activity. For Android specifically, the rediscovery rate reached 21% within 120 days.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original RAND study (Ablon and Bogart, 2017) found a lower collision rate of 5.7% annually, but this dataset was drawn from government-grade zero-day exploits — the most difficult-to-find vulnerabilities in the market — and is not representative of the broader CVE population. Palo Alto Networks research found that 80% of studied exploits were made public before their related CVEs were published.</w:t>
      </w:r>
    </w:p>
    <w:p>
      <w:pPr>
        <w:spacing w:after="30" w:before="0"/>
      </w:pPr>
    </w:p>
    <w:p>
      <w:pPr>
        <w:spacing w:after="140" w:before="0"/>
      </w:pPr>
      <w:r>
        <w:rPr>
          <w:rFonts w:ascii="Arial" w:cs="Arial" w:eastAsia="Arial" w:hAnsi="Arial"/>
          <w:b w:val="false"/>
          <w:bCs w:val="false"/>
          <w:i w:val="false"/>
          <w:iCs w:val="false"/>
          <w:color w:val="000000"/>
          <w:sz w:val="22"/>
          <w:szCs w:val="22"/>
        </w:rPr>
        <w:t xml:space="preserve">For this model we adopt an 80%/20% defender/attacker split. This places the attacker share at the lower bound of the Herr et al. rediscovery range and is conservative relative to the VulnCheck KEV data. As shown in Section 4, this split, combined with the observed 48,000 CVE baseline, implies that approximately 80,000 vulnerabilities are found per year in total, with 32,000 fixed silently by vendors pre-release.</w:t>
      </w:r>
    </w:p>
    <w:p>
      <w:pPr>
        <w:spacing w:after="60" w:before="0"/>
      </w:pPr>
    </w:p>
    <w:p>
      <w:pPr>
        <w:pStyle w:val="Heading2"/>
        <w:spacing w:after="60" w:before="280"/>
      </w:pPr>
      <w:r>
        <w:rPr>
          <w:rFonts w:ascii="Arial" w:cs="Arial" w:eastAsia="Arial" w:hAnsi="Arial"/>
          <w:b/>
          <w:bCs/>
          <w:color w:val="2E5DA6"/>
          <w:sz w:val="26"/>
          <w:szCs w:val="26"/>
        </w:rPr>
        <w:t xml:space="preserve">4.3  LLM Capability as a Vulnerability Discovery Tool</w:t>
      </w:r>
    </w:p>
    <w:p>
      <w:pPr>
        <w:spacing w:after="140" w:before="0"/>
      </w:pPr>
      <w:r>
        <w:rPr>
          <w:rFonts w:ascii="Arial" w:cs="Arial" w:eastAsia="Arial" w:hAnsi="Arial"/>
          <w:b w:val="false"/>
          <w:bCs w:val="false"/>
          <w:i w:val="false"/>
          <w:iCs w:val="false"/>
          <w:color w:val="000000"/>
          <w:sz w:val="22"/>
          <w:szCs w:val="22"/>
        </w:rPr>
        <w:t xml:space="preserve">Anthropic’s Claude found 22 Firefox vulnerabilities in two weeks in 2025, including 14 rated high-severity, and uncovered classes of logic error not previously identified by conventional fuzzers (Mozilla, 2025). Google’s Threat Intelligence Group assessed in 2025 that AI-assisted fuzzing and code analysis can discover vulnerabilities at a scale and speed that human researchers cannot match.</w:t>
      </w:r>
    </w:p>
    <w:p>
      <w:pPr>
        <w:spacing w:after="30" w:before="0"/>
      </w:pPr>
    </w:p>
    <w:p>
      <w:pPr>
        <w:spacing w:after="140" w:before="0"/>
      </w:pPr>
      <w:r>
        <w:rPr>
          <w:rFonts w:ascii="Arial" w:cs="Arial" w:eastAsia="Arial" w:hAnsi="Arial"/>
          <w:b w:val="false"/>
          <w:bCs w:val="false"/>
          <w:i w:val="false"/>
          <w:iCs w:val="false"/>
          <w:color w:val="000000"/>
          <w:sz w:val="22"/>
          <w:szCs w:val="22"/>
        </w:rPr>
        <w:t xml:space="preserve">Quantifying LLM discovery capability as a precise percentage is not possible from public data. We assume LLMs can find 80% of the vulnerabilities present in software to which they are applied — consistent with Claude’s Firefox performance and with the observation that even state-of-the-art models miss a non-trivial fraction of flaws. We treat this as a parameter subject to sensitivity.</w:t>
      </w:r>
    </w:p>
    <w:p>
      <w:pPr>
        <w:spacing w:after="60" w:before="0"/>
      </w:pPr>
    </w:p>
    <w:p>
      <w:pPr>
        <w:pStyle w:val="Heading2"/>
        <w:spacing w:after="60" w:before="280"/>
      </w:pPr>
      <w:r>
        <w:rPr>
          <w:rFonts w:ascii="Arial" w:cs="Arial" w:eastAsia="Arial" w:hAnsi="Arial"/>
          <w:b/>
          <w:bCs/>
          <w:color w:val="2E5DA6"/>
          <w:sz w:val="26"/>
          <w:szCs w:val="26"/>
        </w:rPr>
        <w:t xml:space="preserve">4.4  Vendor and Attacker Adoption of LLMs</w:t>
      </w:r>
    </w:p>
    <w:p>
      <w:pPr>
        <w:spacing w:after="140" w:before="0"/>
      </w:pPr>
      <w:r>
        <w:rPr>
          <w:rFonts w:ascii="Arial" w:cs="Arial" w:eastAsia="Arial" w:hAnsi="Arial"/>
          <w:b w:val="false"/>
          <w:bCs w:val="false"/>
          <w:i w:val="false"/>
          <w:iCs w:val="false"/>
          <w:color w:val="000000"/>
          <w:sz w:val="22"/>
          <w:szCs w:val="22"/>
        </w:rPr>
        <w:t xml:space="preserve">We assume vendors apply LLMs to 100% of new software pre-release, consistent with the strong economic incentive to prevent vulnerabilities from shipping. For existing software, we assume partial adoption of 60% — reflecting realistic constraints on scanning capacity and the cost of retroactively analysing large legacy codebases. Importantly, this partial adoption rate is itself likely to be a deliberate throttle: software producers operating under legal disclosure obligations — including requirements under the EU Cyber Resilience Act and US SEC cyber-incident reporting rules — generally cannot discover a vulnerability and then sit on it indefinitely without disclosure. The rational response to limited remediation bandwidth is therefore to limit the rate of discovery on existing software in the first place, not to discover more than can be fixed and accumulate an undisclosed backlog. The 60% adoption rate in this model can thus be read as representing not a lack of LLM capability but a deliberate pacing decision driven by patching capacity.</w:t>
      </w:r>
    </w:p>
    <w:p>
      <w:pPr>
        <w:spacing w:after="30" w:before="0"/>
      </w:pPr>
    </w:p>
    <w:p>
      <w:pPr>
        <w:spacing w:after="140" w:before="0"/>
      </w:pPr>
      <w:r>
        <w:rPr>
          <w:rFonts w:ascii="Arial" w:cs="Arial" w:eastAsia="Arial" w:hAnsi="Arial"/>
          <w:b w:val="false"/>
          <w:bCs w:val="false"/>
          <w:i w:val="false"/>
          <w:iCs w:val="false"/>
          <w:color w:val="000000"/>
          <w:sz w:val="22"/>
          <w:szCs w:val="22"/>
        </w:rPr>
        <w:t xml:space="preserve">For attackers, we assume LLMs are applied to the portion of existing software that vendors do not scan — the unscanned 40%. This is consistent with rational attacker behaviour: vendor-found vulnerabilities in new software are patched before release, so attackers’ highest-value target is the existing installed base in the fraction defenders have not yet covered. Attackers are assumed to find 80% of vulnerabilities in the unscanned portion. The 80%/20% defender/attacker split is maintained within the new software cohort.</w:t>
      </w:r>
    </w:p>
    <w:p>
      <w:pPr>
        <w:spacing w:after="60" w:before="0"/>
      </w:pPr>
    </w:p>
    <w:p>
      <w:pPr>
        <w:pStyle w:val="Heading2"/>
        <w:spacing w:after="60" w:before="280"/>
      </w:pPr>
      <w:r>
        <w:rPr>
          <w:rFonts w:ascii="Arial" w:cs="Arial" w:eastAsia="Arial" w:hAnsi="Arial"/>
          <w:b/>
          <w:bCs/>
          <w:color w:val="2E5DA6"/>
          <w:sz w:val="26"/>
          <w:szCs w:val="26"/>
        </w:rPr>
        <w:t xml:space="preserve">4.5  The Treatment of New Software Vulnerabilities</w:t>
      </w:r>
    </w:p>
    <w:p>
      <w:pPr>
        <w:spacing w:after="140" w:before="0"/>
      </w:pPr>
      <w:r>
        <w:rPr>
          <w:rFonts w:ascii="Arial" w:cs="Arial" w:eastAsia="Arial" w:hAnsi="Arial"/>
          <w:b w:val="false"/>
          <w:bCs w:val="false"/>
          <w:i w:val="false"/>
          <w:iCs w:val="false"/>
          <w:color w:val="000000"/>
          <w:sz w:val="22"/>
          <w:szCs w:val="22"/>
        </w:rPr>
        <w:t xml:space="preserve">When a vendor finds a vulnerability in its own code before shipping, it typically fixes the flaw silently without assigning a CVE, since the vulnerable code never reached customers. In this model, defender-found vulnerabilities in new software are fixed pre-release and do not become CVEs. Defender-found vulnerabilities in existing software are disclosed as CVEs. All attacker-found vulnerabilities become CVEs when eventually disclosed or discovered through incident response.</w:t>
      </w:r>
    </w:p>
    <w:p>
      <w:pPr>
        <w:spacing w:after="60" w:before="0"/>
      </w:pPr>
    </w:p>
    <w:p>
      <w:pPr>
        <w:pStyle w:val="Heading2"/>
        <w:spacing w:after="60" w:before="280"/>
      </w:pPr>
      <w:r>
        <w:rPr>
          <w:rFonts w:ascii="Arial" w:cs="Arial" w:eastAsia="Arial" w:hAnsi="Arial"/>
          <w:b/>
          <w:bCs/>
          <w:color w:val="2E5DA6"/>
          <w:sz w:val="26"/>
          <w:szCs w:val="26"/>
        </w:rPr>
        <w:t xml:space="preserve">4.6  Remediation Capacity</w:t>
      </w:r>
    </w:p>
    <w:p>
      <w:pPr>
        <w:spacing w:after="140" w:before="0"/>
      </w:pPr>
      <w:r>
        <w:rPr>
          <w:rFonts w:ascii="Arial" w:cs="Arial" w:eastAsia="Arial" w:hAnsi="Arial"/>
          <w:b w:val="false"/>
          <w:bCs w:val="false"/>
          <w:i w:val="false"/>
          <w:iCs w:val="false"/>
          <w:color w:val="000000"/>
          <w:sz w:val="22"/>
          <w:szCs w:val="22"/>
        </w:rPr>
        <w:t xml:space="preserve">Veracode’s 2026 State of Software Security Report found that the average time to fix a security flaw has increased to 252 days — up 47% since 2020 — and that 82% of organisations carry critical security debt. Edgescan (2025) found that 45.4% of enterprise vulnerabilities remain unpatched after 12 months. The Internet Bug Bounty programme paused new submissions in 2025 specifically because AI-assisted discovery had outpaced remediation capacity (HackerOne, 2025).</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 critical structural point shapes how this capacity constraint plays out in practice. Most software producers operate under legal or regulatory disclosure obligations that require timely disclosure of known vulnerabilities. This means discovering a vulnerability and sitting on it indefinitely is generally not a viable strategy: the disclosure clock starts at discovery, not at publication. The rational response for a vendor with limited patching capacity is therefore to throttle the rate of discovery itself — to scan less of the existing codebase — rather than to accumulate a growing inventory of known-but-undisclosed vulnerabilities. The 60% existing-software adoption rate in this model represents not a technological limitation but a deliberate pacing decision driven by remediation bandwidth. The consequence is asymmetric: vendor self-throttling at the scanning stage reduces their CVE output, but attackers face no disclosure obligations and no patching responsibility, and will scan as aggressively as their capabilities allow. The unscanned 40% remains fully exposed to attacker-side LLM scanning regardless of vendor choices, widening the gap between what attackers know and what the defender community has been warned about.</w:t>
      </w:r>
    </w:p>
    <w:p>
      <w:pPr>
        <w:spacing w:after="80" w:before="0"/>
      </w:pPr>
    </w:p>
    <w:p>
      <w:pPr>
        <w:pStyle w:val="Heading1"/>
        <w:spacing w:after="80" w:before="440"/>
      </w:pPr>
      <w:r>
        <w:rPr>
          <w:rFonts w:ascii="Arial" w:cs="Arial" w:eastAsia="Arial" w:hAnsi="Arial"/>
          <w:b/>
          <w:bCs/>
          <w:color w:val="1F3864"/>
          <w:sz w:val="34"/>
          <w:szCs w:val="34"/>
        </w:rPr>
        <w:t xml:space="preserve">5. Model Structure and Calibration</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model tracks two vulnerability cohorts each year: a new software cohort (vulnerabilities in code released in the current year) and an existing software cohort (vulnerabilities in code released in prior years). The key step is calibrating the model so that its baseline output matches the observed 48,000 CVEs published in 2025.</w:t>
      </w:r>
    </w:p>
    <w:p>
      <w:pPr>
        <w:spacing w:after="50" w:before="0"/>
      </w:pPr>
    </w:p>
    <w:p>
      <w:pPr>
        <w:pStyle w:val="Heading2"/>
        <w:spacing w:after="60" w:before="280"/>
      </w:pPr>
      <w:r>
        <w:rPr>
          <w:rFonts w:ascii="Arial" w:cs="Arial" w:eastAsia="Arial" w:hAnsi="Arial"/>
          <w:b/>
          <w:bCs/>
          <w:color w:val="2E5DA6"/>
          <w:sz w:val="26"/>
          <w:szCs w:val="26"/>
        </w:rPr>
        <w:t xml:space="preserve">5.1  Deriving Total Annual Discoveries from the CVE Baseline</w:t>
      </w:r>
    </w:p>
    <w:p>
      <w:pPr>
        <w:spacing w:after="140" w:before="0"/>
      </w:pPr>
      <w:r>
        <w:rPr>
          <w:rFonts w:ascii="Arial" w:cs="Arial" w:eastAsia="Arial" w:hAnsi="Arial"/>
          <w:b w:val="false"/>
          <w:bCs w:val="false"/>
          <w:i w:val="false"/>
          <w:iCs w:val="false"/>
          <w:color w:val="000000"/>
          <w:sz w:val="22"/>
          <w:szCs w:val="22"/>
        </w:rPr>
        <w:t xml:space="preserve">Let T be the total number of vulnerabilities found per year. With a 50/50 new/existing split and an 80/20 defender/attacker split, CVEs are generated as follows. Defender-found new software vulnerabilities (80% × T/2 = 0.40T) are fixed silently — no CVE. Attacker-found new software vulnerabilities (20% × T/2 = 0.10T) become CVEs. Defender-found existing software vulnerabilities (80% × T/2 = 0.40T) become CVEs. Attacker-found existing software vulnerabilities (20% × T/2 = 0.10T) become CVEs. Total CVEs = 0.10T + 0.40T + 0.10T = 0.60T.</w:t>
      </w:r>
    </w:p>
    <w:p>
      <w:pPr>
        <w:spacing w:after="30" w:before="0"/>
      </w:pPr>
    </w:p>
    <w:p>
      <w:pPr>
        <w:spacing w:after="140" w:before="0"/>
      </w:pPr>
      <w:r>
        <w:rPr>
          <w:rFonts w:ascii="Arial" w:cs="Arial" w:eastAsia="Arial" w:hAnsi="Arial"/>
          <w:b w:val="false"/>
          <w:bCs w:val="false"/>
          <w:i w:val="false"/>
          <w:iCs w:val="false"/>
          <w:color w:val="000000"/>
          <w:sz w:val="22"/>
          <w:szCs w:val="22"/>
        </w:rPr>
        <w:t xml:space="preserve">Setting 0.60T = 48,000 gives T = 80,000 vulnerabilities found per year. Of these, 40,000 are in new software and 40,000 in existing software. Defenders find 32,000 new-software vulnerabilities and fix them silently; attackers find 8,000, which become CVEs. Defenders find 32,000 existing-software vulnerabilities, which become CVEs; attackers find another 8,000, also CVEs. The baseline CVE total is 8,000 + 32,000 + 8,000 = 48,000. The 32,000 silently fixed vulnerabilities represent a substantial, largely invisible component of industry security work — roughly 40% of all vulnerabilities found each year are remediated without public disclosure.</w:t>
      </w:r>
    </w:p>
    <w:p>
      <w:pPr>
        <w:spacing w:after="4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Calibration Result</w:t>
            </w:r>
          </w:p>
          <w:p>
            <w:pPr>
              <w:spacing w:after="50" w:before="0"/>
            </w:pPr>
            <w:r>
              <w:rPr>
                <w:rFonts w:ascii="Arial" w:cs="Arial" w:eastAsia="Arial" w:hAnsi="Arial"/>
                <w:b/>
                <w:bCs/>
                <w:sz w:val="22"/>
                <w:szCs w:val="22"/>
              </w:rPr>
              <w:t xml:space="preserve">Total vulnerabilities found per year: 80,000  (40,000 new sw + 40,000 existing sw)</w:t>
            </w:r>
          </w:p>
          <w:p>
            <w:pPr>
              <w:spacing w:after="50" w:before="0"/>
            </w:pPr>
            <w:r>
              <w:rPr>
                <w:rFonts w:ascii="Arial" w:cs="Arial" w:eastAsia="Arial" w:hAnsi="Arial"/>
                <w:sz w:val="22"/>
                <w:szCs w:val="22"/>
              </w:rPr>
              <w:t xml:space="preserve">Silent fixes (defender-found new sw): 32,000  [no CVE published]</w:t>
            </w:r>
          </w:p>
          <w:p>
            <w:pPr>
              <w:spacing w:after="50" w:before="0"/>
            </w:pPr>
            <w:r>
              <w:rPr>
                <w:rFonts w:ascii="Arial" w:cs="Arial" w:eastAsia="Arial" w:hAnsi="Arial"/>
                <w:sz w:val="22"/>
                <w:szCs w:val="22"/>
              </w:rPr>
              <w:t xml:space="preserve">Attacker CVEs: 16,000  (8,000 new sw + 8,000 existing sw)  =  33.3% of all CVEs</w:t>
            </w:r>
          </w:p>
          <w:p>
            <w:pPr>
              <w:spacing w:after="0" w:before="0"/>
            </w:pPr>
            <w:r>
              <w:rPr>
                <w:rFonts w:ascii="Arial" w:cs="Arial" w:eastAsia="Arial" w:hAnsi="Arial"/>
                <w:sz w:val="22"/>
                <w:szCs w:val="22"/>
              </w:rPr>
              <w:t xml:space="preserve">Defender CVEs: 32,000  (existing sw only)  =  66.7% of all CVEs</w:t>
            </w:r>
          </w:p>
        </w:tc>
      </w:tr>
    </w:tbl>
    <w:p>
      <w:pPr>
        <w:spacing w:after="60" w:before="0"/>
      </w:pPr>
    </w:p>
    <w:p>
      <w:pPr>
        <w:pStyle w:val="Heading2"/>
        <w:spacing w:after="60" w:before="280"/>
      </w:pPr>
      <w:r>
        <w:rPr>
          <w:rFonts w:ascii="Arial" w:cs="Arial" w:eastAsia="Arial" w:hAnsi="Arial"/>
          <w:b/>
          <w:bCs/>
          <w:color w:val="2E5DA6"/>
          <w:sz w:val="26"/>
          <w:szCs w:val="26"/>
        </w:rPr>
        <w:t xml:space="preserve">5.2  Scenario Parameters</w:t>
      </w:r>
    </w:p>
    <w:p>
      <w:pPr>
        <w:spacing w:after="140" w:before="0"/>
      </w:pPr>
      <w:r>
        <w:rPr>
          <w:rFonts w:ascii="Arial" w:cs="Arial" w:eastAsia="Arial" w:hAnsi="Arial"/>
          <w:b w:val="false"/>
          <w:bCs w:val="false"/>
          <w:i w:val="false"/>
          <w:iCs w:val="false"/>
          <w:color w:val="000000"/>
          <w:sz w:val="22"/>
          <w:szCs w:val="22"/>
        </w:rPr>
        <w:t xml:space="preserve">The two scenarios apply different discovery rates to the same 80,000 annual discovery count, yielding different implied market sizes and therefore different existing vulnerability pools at the start of Year 1.</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Scenario Parameters</w:t>
            </w:r>
          </w:p>
          <w:p>
            <w:pPr>
              <w:spacing w:after="60" w:before="0"/>
            </w:pPr>
            <w:r>
              <w:rPr>
                <w:rFonts w:ascii="Arial" w:cs="Arial" w:eastAsia="Arial" w:hAnsi="Arial"/>
                <w:b/>
                <w:bCs/>
                <w:sz w:val="22"/>
                <w:szCs w:val="22"/>
              </w:rPr>
              <w:t xml:space="preserve">Scenario 1 (10% discovery rate): </w:t>
            </w:r>
            <w:r>
              <w:rPr>
                <w:rFonts w:ascii="Arial" w:cs="Arial" w:eastAsia="Arial" w:hAnsi="Arial"/>
                <w:sz w:val="22"/>
                <w:szCs w:val="22"/>
              </w:rPr>
              <w:t xml:space="preserve">Market = 800,000 vulnerabilities  |  Existing pool Year 1 = 720,000</w:t>
            </w:r>
          </w:p>
          <w:p>
            <w:pPr>
              <w:spacing w:after="60" w:before="0"/>
            </w:pPr>
            <w:r>
              <w:rPr>
                <w:rFonts w:ascii="Arial" w:cs="Arial" w:eastAsia="Arial" w:hAnsi="Arial"/>
                <w:b/>
                <w:bCs/>
                <w:sz w:val="22"/>
                <w:szCs w:val="22"/>
              </w:rPr>
              <w:t xml:space="preserve">Scenario 2 (20% discovery rate): </w:t>
            </w:r>
            <w:r>
              <w:rPr>
                <w:rFonts w:ascii="Arial" w:cs="Arial" w:eastAsia="Arial" w:hAnsi="Arial"/>
                <w:sz w:val="22"/>
                <w:szCs w:val="22"/>
              </w:rPr>
              <w:t xml:space="preserve">Market = 400,000 vulnerabilities  |  Existing pool Year 1 = 320,000</w:t>
            </w:r>
          </w:p>
          <w:p>
            <w:pPr>
              <w:spacing w:after="60" w:before="0"/>
            </w:pPr>
            <w:r>
              <w:rPr>
                <w:rFonts w:ascii="Arial" w:cs="Arial" w:eastAsia="Arial" w:hAnsi="Arial"/>
                <w:b/>
                <w:bCs/>
                <w:sz w:val="22"/>
                <w:szCs w:val="22"/>
              </w:rPr>
              <w:t xml:space="preserve">Scenario 3 (15% discovery rate): </w:t>
            </w:r>
            <w:r>
              <w:rPr>
                <w:rFonts w:ascii="Arial" w:cs="Arial" w:eastAsia="Arial" w:hAnsi="Arial"/>
                <w:sz w:val="22"/>
                <w:szCs w:val="22"/>
              </w:rPr>
              <w:t xml:space="preserve">Market = 533,333 vulnerabilities  |  Existing pool Year 1 = 453,333</w:t>
            </w:r>
          </w:p>
          <w:p>
            <w:pPr>
              <w:spacing w:after="60" w:before="0"/>
            </w:pPr>
            <w:r>
              <w:rPr>
                <w:rFonts w:ascii="Arial" w:cs="Arial" w:eastAsia="Arial" w:hAnsi="Arial"/>
                <w:b/>
                <w:bCs/>
                <w:sz w:val="22"/>
                <w:szCs w:val="22"/>
              </w:rPr>
              <w:t xml:space="preserve">Both scenarios: </w:t>
            </w:r>
            <w:r>
              <w:rPr>
                <w:rFonts w:ascii="Arial" w:cs="Arial" w:eastAsia="Arial" w:hAnsi="Arial"/>
                <w:sz w:val="22"/>
                <w:szCs w:val="22"/>
              </w:rPr>
              <w:t xml:space="preserve">80,000 new vulnerabilities added per year  |  LLMs find 80% of scanned code</w:t>
            </w:r>
          </w:p>
          <w:p>
            <w:pPr>
              <w:spacing w:after="0" w:before="0"/>
            </w:pPr>
            <w:r>
              <w:rPr>
                <w:rFonts w:ascii="Arial" w:cs="Arial" w:eastAsia="Arial" w:hAnsi="Arial"/>
                <w:b/>
                <w:bCs/>
                <w:sz w:val="22"/>
                <w:szCs w:val="22"/>
              </w:rPr>
              <w:t xml:space="preserve">Vendor adoption: </w:t>
            </w:r>
            <w:r>
              <w:rPr>
                <w:rFonts w:ascii="Arial" w:cs="Arial" w:eastAsia="Arial" w:hAnsi="Arial"/>
                <w:sz w:val="22"/>
                <w:szCs w:val="22"/>
              </w:rPr>
              <w:t xml:space="preserve">100% of new software pre-release  |  60% of existing software  |  Attackers: 80% of unscanned 40%</w:t>
            </w:r>
          </w:p>
        </w:tc>
      </w:tr>
    </w:tbl>
    <w:p>
      <w:pPr>
        <w:spacing w:after="80" w:before="0"/>
      </w:pPr>
    </w:p>
    <w:p>
      <w:pPr>
        <w:pStyle w:val="Heading1"/>
        <w:spacing w:after="80" w:before="440"/>
      </w:pPr>
      <w:r>
        <w:rPr>
          <w:rFonts w:ascii="Arial" w:cs="Arial" w:eastAsia="Arial" w:hAnsi="Arial"/>
          <w:b/>
          <w:bCs/>
          <w:color w:val="1F3864"/>
          <w:sz w:val="34"/>
          <w:szCs w:val="34"/>
        </w:rPr>
        <w:t xml:space="preserve">6. Results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All three scenarios share the same pre-LLM baseline: 48,000 CVEs per year, of which 16,000 (33.3%) originate with attackers. This baseline reflects current conditions — a world in which roughly one in three CVEs is already being found first by malicious actors, before LLMs enter the picture.</w:t>
      </w:r>
    </w:p>
    <w:p>
      <w:pPr>
        <w:spacing w:after="60" w:before="0"/>
      </w:pPr>
    </w:p>
    <w:p>
      <w:pPr>
        <w:pStyle w:val="Heading2"/>
        <w:spacing w:after="60" w:before="280"/>
      </w:pPr>
      <w:r>
        <w:rPr>
          <w:rFonts w:ascii="Arial" w:cs="Arial" w:eastAsia="Arial" w:hAnsi="Arial"/>
          <w:b/>
          <w:bCs/>
          <w:color w:val="2E5DA6"/>
          <w:sz w:val="26"/>
          <w:szCs w:val="26"/>
        </w:rPr>
        <w:t xml:space="preserve">6.1  Scenario 1: 10% Discovery Rate (Market: 800,000)</w:t>
      </w:r>
    </w:p>
    <w:p>
      <w:pPr>
        <w:spacing w:after="20" w:before="0"/>
      </w:pPr>
    </w:p>
    <w:p>
      <w:pPr>
        <w:spacing w:after="60" w:before="200"/>
      </w:pPr>
      <w:r>
        <w:rPr>
          <w:rFonts w:ascii="Arial" w:cs="Arial" w:eastAsia="Arial" w:hAnsi="Arial"/>
          <w:b/>
          <w:bCs/>
          <w:color w:val="1F3864"/>
          <w:sz w:val="22"/>
          <w:szCs w:val="22"/>
        </w:rPr>
        <w:t xml:space="preserve">Year 1</w:t>
      </w:r>
    </w:p>
    <w:p>
      <w:pPr>
        <w:spacing w:after="140" w:before="0"/>
      </w:pPr>
      <w:r>
        <w:rPr>
          <w:rFonts w:ascii="Arial" w:cs="Arial" w:eastAsia="Arial" w:hAnsi="Arial"/>
          <w:b w:val="false"/>
          <w:bCs w:val="false"/>
          <w:i w:val="false"/>
          <w:iCs w:val="false"/>
          <w:color w:val="000000"/>
          <w:sz w:val="22"/>
          <w:szCs w:val="22"/>
        </w:rPr>
        <w:t xml:space="preserve">The existing pool stands at 720,000 at the start of Year 1. Vendors apply LLMs to all 80,000 newly released vulnerabilities, fixing 51,200 silently (80% × 80%) and leaving 12,800 for attackers (CVEs) and 16,000 unfound. In existing software, vendors scan 60% of 720,000 (432,000 vulnerabilities) with LLMs, finding 345,600 CVEs. Attackers scan the unscanned 40% (288,000 vulnerabilities), finding 230,400 CVEs.</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Year 1 — Scenario 1</w:t>
            </w:r>
          </w:p>
          <w:p>
            <w:pPr>
              <w:spacing w:after="40" w:before="0"/>
            </w:pPr>
            <w:r>
              <w:rPr>
                <w:rFonts w:ascii="Arial" w:cs="Arial" w:eastAsia="Arial" w:hAnsi="Arial"/>
                <w:b/>
                <w:bCs/>
                <w:color w:val="2E5DA6"/>
                <w:sz w:val="22"/>
                <w:szCs w:val="22"/>
              </w:rPr>
              <w:t xml:space="preserve">Total CVEs: 588,800</w:t>
            </w:r>
            <w:r>
              <w:rPr>
                <w:rFonts w:ascii="Arial" w:cs="Arial" w:eastAsia="Arial" w:hAnsi="Arial"/>
                <w:sz w:val="22"/>
                <w:szCs w:val="22"/>
              </w:rPr>
              <w:t xml:space="preserve">  —  a 12× increase over the pre-LLM baseline of 48,000</w:t>
            </w:r>
          </w:p>
          <w:p>
            <w:pPr>
              <w:spacing w:after="0" w:before="0"/>
            </w:pPr>
            <w:r>
              <w:rPr>
                <w:rFonts w:ascii="Arial" w:cs="Arial" w:eastAsia="Arial" w:hAnsi="Arial"/>
                <w:sz w:val="22"/>
                <w:szCs w:val="22"/>
              </w:rPr>
              <w:t xml:space="preserve">Defender CVEs: 345,600   |   Attacker CVEs: 243,200   |   Attacker share: 41.3%</w:t>
            </w:r>
          </w:p>
        </w:tc>
      </w:tr>
    </w:tbl>
    <w:p>
      <w:pPr>
        <w:spacing w:after="30" w:before="0"/>
      </w:pPr>
    </w:p>
    <w:p>
      <w:pPr>
        <w:spacing w:after="140" w:before="0"/>
      </w:pPr>
      <w:r>
        <w:rPr>
          <w:rFonts w:ascii="Arial" w:cs="Arial" w:eastAsia="Arial" w:hAnsi="Arial"/>
          <w:b w:val="false"/>
          <w:bCs w:val="false"/>
          <w:i w:val="false"/>
          <w:iCs w:val="false"/>
          <w:color w:val="000000"/>
          <w:sz w:val="22"/>
          <w:szCs w:val="22"/>
        </w:rPr>
        <w:t xml:space="preserve">The existing pool drops from 720,000 to 73,600 going into Year 2 — a 90% reduction in a single year, as LLM-accelerated scanning by both sides exhausts the legacy inventory.</w:t>
      </w:r>
    </w:p>
    <w:p>
      <w:pPr>
        <w:spacing w:after="30" w:before="0"/>
      </w:pPr>
    </w:p>
    <w:p>
      <w:pPr>
        <w:spacing w:after="60" w:before="200"/>
      </w:pPr>
      <w:r>
        <w:rPr>
          <w:rFonts w:ascii="Arial" w:cs="Arial" w:eastAsia="Arial" w:hAnsi="Arial"/>
          <w:b/>
          <w:bCs/>
          <w:color w:val="1F3864"/>
          <w:sz w:val="22"/>
          <w:szCs w:val="22"/>
        </w:rPr>
        <w:t xml:space="preserve">Years 2–5: Convergence</w:t>
      </w:r>
    </w:p>
    <w:p>
      <w:pPr>
        <w:spacing w:after="140" w:before="0"/>
      </w:pPr>
      <w:r>
        <w:rPr>
          <w:rFonts w:ascii="Arial" w:cs="Arial" w:eastAsia="Arial" w:hAnsi="Arial"/>
          <w:b w:val="false"/>
          <w:bCs w:val="false"/>
          <w:i w:val="false"/>
          <w:iCs w:val="false"/>
          <w:color w:val="000000"/>
          <w:sz w:val="22"/>
          <w:szCs w:val="22"/>
        </w:rPr>
        <w:t xml:space="preserve">By Year 2 the pool is 73,600 and total CVEs fall to 71,680. By Year 3 the pool is 21,888 and the attacker share climbs to 65.3% as the residual from new software — where attackers have a structural 20% share — begins to dominate. By Years 4 and 5 the model reaches steady state near 27,000 CVEs per year with a 68.7% attacker share.</w:t>
      </w:r>
    </w:p>
    <w:p>
      <w:pPr>
        <w:spacing w:after="40" w:before="0"/>
      </w:pPr>
    </w:p>
    <w:p>
      <w:pPr>
        <w:spacing w:after="60" w:before="200"/>
      </w:pPr>
      <w:r>
        <w:rPr>
          <w:rFonts w:ascii="Arial" w:cs="Arial" w:eastAsia="Arial" w:hAnsi="Arial"/>
          <w:b/>
          <w:bCs/>
          <w:color w:val="1F3864"/>
          <w:sz w:val="22"/>
          <w:szCs w:val="22"/>
        </w:rPr>
        <w:t xml:space="preserve">Five-Year Summary — Scenario 1</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1660"/>
        <w:gridCol w:w="1360"/>
        <w:gridCol w:w="1440"/>
        <w:gridCol w:w="1600"/>
        <w:gridCol w:w="1660"/>
        <w:gridCol w:w="940"/>
      </w:tblGrid>
      <w:tr>
        <w:trPr>
          <w:tblHeader/>
        </w:trPr>
        <w:tc>
          <w:tcPr>
            <w:tcW w:type="dxa" w:w="16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Year / Period</w:t>
            </w:r>
          </w:p>
        </w:tc>
        <w:tc>
          <w:tcPr>
            <w:tcW w:type="dxa" w:w="13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Vuln Pool
(start)</w:t>
            </w:r>
          </w:p>
        </w:tc>
        <w:tc>
          <w:tcPr>
            <w:tcW w:type="dxa" w:w="144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Total CVEs
Published</w:t>
            </w:r>
          </w:p>
        </w:tc>
        <w:tc>
          <w:tcPr>
            <w:tcW w:type="dxa" w:w="16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Defender
CVEs</w:t>
            </w:r>
          </w:p>
        </w:tc>
        <w:tc>
          <w:tcPr>
            <w:tcW w:type="dxa" w:w="16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CVEs</w:t>
            </w:r>
          </w:p>
        </w:tc>
        <w:tc>
          <w:tcPr>
            <w:tcW w:type="dxa" w:w="94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Share</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bCs/>
                <w:color w:val="595959"/>
                <w:sz w:val="19"/>
                <w:szCs w:val="19"/>
              </w:rPr>
              <w:t xml:space="preserve">Baseline (pre-LLM)</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720,000</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595959"/>
                <w:sz w:val="19"/>
                <w:szCs w:val="19"/>
              </w:rPr>
              <w:t xml:space="preserve">48,000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32,000</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16,000</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33.3%</w:t>
            </w:r>
          </w:p>
        </w:tc>
      </w:tr>
      <w:tr>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left"/>
            </w:pPr>
            <w:r>
              <w:rPr>
                <w:rFonts w:ascii="Arial" w:cs="Arial" w:eastAsia="Arial" w:hAnsi="Arial"/>
                <w:b/>
                <w:bCs/>
                <w:color w:val="000000"/>
                <w:sz w:val="19"/>
                <w:szCs w:val="19"/>
              </w:rPr>
              <w:t xml:space="preserve">Year 1</w:t>
            </w:r>
          </w:p>
        </w:tc>
        <w:tc>
          <w:tcPr>
            <w:tcW w:type="dxa" w:w="13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720,000</w:t>
            </w:r>
          </w:p>
        </w:tc>
        <w:tc>
          <w:tcPr>
            <w:tcW w:type="dxa" w:w="14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2E5DA6"/>
                <w:sz w:val="19"/>
                <w:szCs w:val="19"/>
              </w:rPr>
              <w:t xml:space="preserve">588,800</w:t>
            </w:r>
          </w:p>
        </w:tc>
        <w:tc>
          <w:tcPr>
            <w:tcW w:type="dxa" w:w="160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345,600</w:t>
            </w:r>
          </w:p>
        </w:tc>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243,200</w:t>
            </w:r>
          </w:p>
        </w:tc>
        <w:tc>
          <w:tcPr>
            <w:tcW w:type="dxa" w:w="9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41.3%</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2</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73,600</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71,680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35,328</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36,352</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50.7%</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3</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21,888</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30,310</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10,506</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19,804</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65.3%</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4</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17,751</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27,001</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8,520</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18,480</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68.4%</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5</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17,420</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26,736</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8,362</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18,374</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68.7%</w:t>
            </w:r>
          </w:p>
        </w:tc>
      </w:tr>
    </w:tbl>
    <w:p>
      <w:pPr>
        <w:spacing w:after="50" w:before="0"/>
      </w:pPr>
    </w:p>
    <w:p>
      <w:pPr>
        <w:spacing w:after="140" w:before="0"/>
      </w:pPr>
      <w:r>
        <w:rPr>
          <w:rFonts w:ascii="Arial" w:cs="Arial" w:eastAsia="Arial" w:hAnsi="Arial"/>
          <w:b w:val="false"/>
          <w:bCs w:val="false"/>
          <w:i/>
          <w:iCs/>
          <w:color w:val="595959"/>
          <w:sz w:val="22"/>
          <w:szCs w:val="22"/>
        </w:rPr>
        <w:t xml:space="preserve">Note: ‘Defender CVEs’ reflects vendor-found CVEs in existing software only. Vendor-found vulnerabilities in new software are fixed pre-release (no CVE). Baseline pool of 720,000 = existing software portion of the 800,000-vulnerability market.</w:t>
      </w:r>
    </w:p>
    <w:p>
      <w:pPr>
        <w:spacing w:after="80" w:before="0"/>
      </w:pPr>
    </w:p>
    <w:p>
      <w:pPr>
        <w:pStyle w:val="Heading2"/>
        <w:spacing w:after="60" w:before="280"/>
      </w:pPr>
      <w:r>
        <w:rPr>
          <w:rFonts w:ascii="Arial" w:cs="Arial" w:eastAsia="Arial" w:hAnsi="Arial"/>
          <w:b/>
          <w:bCs/>
          <w:color w:val="8B3500"/>
          <w:sz w:val="26"/>
          <w:szCs w:val="26"/>
        </w:rPr>
        <w:t xml:space="preserve">6.2  Scenario 2: 20% Discovery Rate (Market: 400,000)</w:t>
      </w:r>
    </w:p>
    <w:p>
      <w:pPr>
        <w:spacing w:after="140" w:before="0"/>
      </w:pPr>
      <w:r>
        <w:rPr>
          <w:rFonts w:ascii="Arial" w:cs="Arial" w:eastAsia="Arial" w:hAnsi="Arial"/>
          <w:b w:val="false"/>
          <w:bCs w:val="false"/>
          <w:i w:val="false"/>
          <w:iCs w:val="false"/>
          <w:color w:val="000000"/>
          <w:sz w:val="22"/>
          <w:szCs w:val="22"/>
        </w:rPr>
        <w:t xml:space="preserve">Under Scenario 2, a 20% annual discovery rate implies a market of 400,000 vulnerabilities and an existing pool of 320,000 at the start of Year 1 — less than half the Scenario 1 pool. The Year 1 dynamics are structurally identical but operate at a smaller scale, producing a more contained initial surge.</w:t>
      </w:r>
    </w:p>
    <w:p>
      <w:pPr>
        <w:spacing w:after="30" w:before="0"/>
      </w:pPr>
    </w:p>
    <w:p>
      <w:pPr>
        <w:spacing w:after="60" w:before="200"/>
      </w:pPr>
      <w:r>
        <w:rPr>
          <w:rFonts w:ascii="Arial" w:cs="Arial" w:eastAsia="Arial" w:hAnsi="Arial"/>
          <w:b/>
          <w:bCs/>
          <w:color w:val="1F3864"/>
          <w:sz w:val="22"/>
          <w:szCs w:val="22"/>
        </w:rPr>
        <w:t xml:space="preserve">Year 1</w:t>
      </w:r>
    </w:p>
    <w:p>
      <w:pPr>
        <w:spacing w:after="140" w:before="0"/>
      </w:pPr>
      <w:r>
        <w:rPr>
          <w:rFonts w:ascii="Arial" w:cs="Arial" w:eastAsia="Arial" w:hAnsi="Arial"/>
          <w:b w:val="false"/>
          <w:bCs w:val="false"/>
          <w:i w:val="false"/>
          <w:iCs w:val="false"/>
          <w:color w:val="000000"/>
          <w:sz w:val="22"/>
          <w:szCs w:val="22"/>
        </w:rPr>
        <w:t xml:space="preserve">Vendors scan 60% of 320,000 existing vulnerabilities (192,000), finding 153,600 CVEs. Attackers scan the unscanned 40% (128,000 vulnerabilities), finding 102,400 CVEs. New software contributes a further 12,800 attacker CVEs.</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C8A800" w:sz="1"/>
              <w:left w:val="single" w:color="C8A800" w:sz="18"/>
              <w:bottom w:val="single" w:color="C8A800" w:sz="1"/>
              <w:right w:val="single" w:color="C8A800" w:sz="1"/>
            </w:tcBorders>
            <w:shd w:fill="FFF8E8" w:val="clear"/>
            <w:tcMar>
              <w:top w:type="dxa" w:w="120"/>
              <w:left w:type="dxa" w:w="200"/>
              <w:bottom w:type="dxa" w:w="120"/>
              <w:right w:type="dxa" w:w="200"/>
            </w:tcMar>
          </w:tcPr>
          <w:p>
            <w:pPr>
              <w:spacing w:after="80" w:before="0"/>
            </w:pPr>
            <w:r>
              <w:rPr>
                <w:rFonts w:ascii="Arial" w:cs="Arial" w:eastAsia="Arial" w:hAnsi="Arial"/>
                <w:b/>
                <w:bCs/>
                <w:color w:val="7B5E00"/>
                <w:sz w:val="20"/>
                <w:szCs w:val="20"/>
              </w:rPr>
              <w:t xml:space="preserve">Year 1 — Scenario 2</w:t>
            </w:r>
          </w:p>
          <w:p>
            <w:pPr>
              <w:spacing w:after="40" w:before="0"/>
            </w:pPr>
            <w:r>
              <w:rPr>
                <w:rFonts w:ascii="Arial" w:cs="Arial" w:eastAsia="Arial" w:hAnsi="Arial"/>
                <w:b/>
                <w:bCs/>
                <w:color w:val="7B5E00"/>
                <w:sz w:val="22"/>
                <w:szCs w:val="22"/>
              </w:rPr>
              <w:t xml:space="preserve">Total CVEs: 268,800</w:t>
            </w:r>
            <w:r>
              <w:rPr>
                <w:rFonts w:ascii="Arial" w:cs="Arial" w:eastAsia="Arial" w:hAnsi="Arial"/>
                <w:sz w:val="22"/>
                <w:szCs w:val="22"/>
              </w:rPr>
              <w:t xml:space="preserve">  —  a 5.6× increase over the pre-LLM baseline of 48,000</w:t>
            </w:r>
          </w:p>
          <w:p>
            <w:pPr>
              <w:spacing w:after="0" w:before="0"/>
            </w:pPr>
            <w:r>
              <w:rPr>
                <w:rFonts w:ascii="Arial" w:cs="Arial" w:eastAsia="Arial" w:hAnsi="Arial"/>
                <w:sz w:val="22"/>
                <w:szCs w:val="22"/>
              </w:rPr>
              <w:t xml:space="preserve">Defender CVEs: 153,600   |   Attacker CVEs: 115,200   |   Attacker share: 42.9%</w:t>
            </w:r>
          </w:p>
        </w:tc>
      </w:tr>
    </w:tbl>
    <w:p>
      <w:pPr>
        <w:spacing w:after="30" w:before="0"/>
      </w:pPr>
    </w:p>
    <w:p>
      <w:pPr>
        <w:spacing w:after="140" w:before="0"/>
      </w:pPr>
      <w:r>
        <w:rPr>
          <w:rFonts w:ascii="Arial" w:cs="Arial" w:eastAsia="Arial" w:hAnsi="Arial"/>
          <w:b w:val="false"/>
          <w:bCs w:val="false"/>
          <w:i w:val="false"/>
          <w:iCs w:val="false"/>
          <w:color w:val="000000"/>
          <w:sz w:val="22"/>
          <w:szCs w:val="22"/>
        </w:rPr>
        <w:t xml:space="preserve">The pool drops from 320,000 to 41,600 — a 87% reduction in Year 1 — before converging to the same long-run equilibrium as Scenario 1 by Year 4.</w:t>
      </w:r>
    </w:p>
    <w:p>
      <w:pPr>
        <w:spacing w:after="30" w:before="0"/>
      </w:pPr>
    </w:p>
    <w:p>
      <w:pPr>
        <w:spacing w:after="60" w:before="200"/>
      </w:pPr>
      <w:r>
        <w:rPr>
          <w:rFonts w:ascii="Arial" w:cs="Arial" w:eastAsia="Arial" w:hAnsi="Arial"/>
          <w:b/>
          <w:bCs/>
          <w:color w:val="1F3864"/>
          <w:sz w:val="22"/>
          <w:szCs w:val="22"/>
        </w:rPr>
        <w:t xml:space="preserve">Five-Year Summary — Scenario 2</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1660"/>
        <w:gridCol w:w="1360"/>
        <w:gridCol w:w="1440"/>
        <w:gridCol w:w="1600"/>
        <w:gridCol w:w="1660"/>
        <w:gridCol w:w="940"/>
      </w:tblGrid>
      <w:tr>
        <w:trPr>
          <w:tblHeader/>
        </w:trPr>
        <w:tc>
          <w:tcPr>
            <w:tcW w:type="dxa" w:w="1660"/>
            <w:tcBorders>
              <w:top w:val="single" w:color="B0BED0" w:sz="1"/>
              <w:left w:val="single" w:color="B0BED0" w:sz="1"/>
              <w:bottom w:val="single" w:color="B0BED0" w:sz="1"/>
              <w:right w:val="single" w:color="B0BED0" w:sz="1"/>
            </w:tcBorders>
            <w:shd w:fill="7B5E00"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Year / Period</w:t>
            </w:r>
          </w:p>
        </w:tc>
        <w:tc>
          <w:tcPr>
            <w:tcW w:type="dxa" w:w="1360"/>
            <w:tcBorders>
              <w:top w:val="single" w:color="B0BED0" w:sz="1"/>
              <w:left w:val="single" w:color="B0BED0" w:sz="1"/>
              <w:bottom w:val="single" w:color="B0BED0" w:sz="1"/>
              <w:right w:val="single" w:color="B0BED0" w:sz="1"/>
            </w:tcBorders>
            <w:shd w:fill="7B5E00"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Vuln Pool
(start)</w:t>
            </w:r>
          </w:p>
        </w:tc>
        <w:tc>
          <w:tcPr>
            <w:tcW w:type="dxa" w:w="1440"/>
            <w:tcBorders>
              <w:top w:val="single" w:color="B0BED0" w:sz="1"/>
              <w:left w:val="single" w:color="B0BED0" w:sz="1"/>
              <w:bottom w:val="single" w:color="B0BED0" w:sz="1"/>
              <w:right w:val="single" w:color="B0BED0" w:sz="1"/>
            </w:tcBorders>
            <w:shd w:fill="7B5E00"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Total CVEs
Published</w:t>
            </w:r>
          </w:p>
        </w:tc>
        <w:tc>
          <w:tcPr>
            <w:tcW w:type="dxa" w:w="1600"/>
            <w:tcBorders>
              <w:top w:val="single" w:color="B0BED0" w:sz="1"/>
              <w:left w:val="single" w:color="B0BED0" w:sz="1"/>
              <w:bottom w:val="single" w:color="B0BED0" w:sz="1"/>
              <w:right w:val="single" w:color="B0BED0" w:sz="1"/>
            </w:tcBorders>
            <w:shd w:fill="7B5E00"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Defender
CVEs</w:t>
            </w:r>
          </w:p>
        </w:tc>
        <w:tc>
          <w:tcPr>
            <w:tcW w:type="dxa" w:w="1660"/>
            <w:tcBorders>
              <w:top w:val="single" w:color="B0BED0" w:sz="1"/>
              <w:left w:val="single" w:color="B0BED0" w:sz="1"/>
              <w:bottom w:val="single" w:color="B0BED0" w:sz="1"/>
              <w:right w:val="single" w:color="B0BED0" w:sz="1"/>
            </w:tcBorders>
            <w:shd w:fill="7B5E00"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CVEs</w:t>
            </w:r>
          </w:p>
        </w:tc>
        <w:tc>
          <w:tcPr>
            <w:tcW w:type="dxa" w:w="940"/>
            <w:tcBorders>
              <w:top w:val="single" w:color="B0BED0" w:sz="1"/>
              <w:left w:val="single" w:color="B0BED0" w:sz="1"/>
              <w:bottom w:val="single" w:color="B0BED0" w:sz="1"/>
              <w:right w:val="single" w:color="B0BED0" w:sz="1"/>
            </w:tcBorders>
            <w:shd w:fill="7B5E00"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Share</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bCs/>
                <w:color w:val="595959"/>
                <w:sz w:val="19"/>
                <w:szCs w:val="19"/>
              </w:rPr>
              <w:t xml:space="preserve">Baseline (pre-LLM)</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320,000</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595959"/>
                <w:sz w:val="19"/>
                <w:szCs w:val="19"/>
              </w:rPr>
              <w:t xml:space="preserve">48,000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32,000</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16,000</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33.3%</w:t>
            </w:r>
          </w:p>
        </w:tc>
      </w:tr>
      <w:tr>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left"/>
            </w:pPr>
            <w:r>
              <w:rPr>
                <w:rFonts w:ascii="Arial" w:cs="Arial" w:eastAsia="Arial" w:hAnsi="Arial"/>
                <w:b/>
                <w:bCs/>
                <w:color w:val="000000"/>
                <w:sz w:val="19"/>
                <w:szCs w:val="19"/>
              </w:rPr>
              <w:t xml:space="preserve">Year 1</w:t>
            </w:r>
          </w:p>
        </w:tc>
        <w:tc>
          <w:tcPr>
            <w:tcW w:type="dxa" w:w="13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320,000</w:t>
            </w:r>
          </w:p>
        </w:tc>
        <w:tc>
          <w:tcPr>
            <w:tcW w:type="dxa" w:w="14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2E5DA6"/>
                <w:sz w:val="19"/>
                <w:szCs w:val="19"/>
              </w:rPr>
              <w:t xml:space="preserve">268,800</w:t>
            </w:r>
          </w:p>
        </w:tc>
        <w:tc>
          <w:tcPr>
            <w:tcW w:type="dxa" w:w="160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153,600</w:t>
            </w:r>
          </w:p>
        </w:tc>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115,200</w:t>
            </w:r>
          </w:p>
        </w:tc>
        <w:tc>
          <w:tcPr>
            <w:tcW w:type="dxa" w:w="9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42.9%</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2</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41,600</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46,080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19,968</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26,112</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56.7%</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3</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19,328</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28,262</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9,277</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18,985</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67.2%</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4</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17,546</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26,837</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8,422</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18,415</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68.6%</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5</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17,404</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26,723</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8,354</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18,369</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68.7%</w:t>
            </w:r>
          </w:p>
        </w:tc>
      </w:tr>
    </w:tbl>
    <w:p>
      <w:pPr>
        <w:spacing w:after="50" w:before="0"/>
      </w:pPr>
    </w:p>
    <w:p>
      <w:pPr>
        <w:spacing w:after="140" w:before="0"/>
      </w:pPr>
      <w:r>
        <w:rPr>
          <w:rFonts w:ascii="Arial" w:cs="Arial" w:eastAsia="Arial" w:hAnsi="Arial"/>
          <w:b w:val="false"/>
          <w:bCs w:val="false"/>
          <w:i/>
          <w:iCs/>
          <w:color w:val="595959"/>
          <w:sz w:val="22"/>
          <w:szCs w:val="22"/>
        </w:rPr>
        <w:t xml:space="preserve">Note: ‘Defender CVEs’ reflects vendor-found CVEs in existing software only. Vendor-found vulnerabilities in new software are fixed pre-release (no CVE). Baseline pool of 320,000 = existing software portion of the 400,000-vulnerability market.</w:t>
      </w:r>
    </w:p>
    <w:p>
      <w:pPr>
        <w:pStyle w:val="Heading2"/>
        <w:spacing w:after="60" w:before="280"/>
      </w:pPr>
      <w:r>
        <w:rPr>
          <w:rFonts w:ascii="Arial" w:cs="Arial" w:eastAsia="Arial" w:hAnsi="Arial"/>
          <w:b/>
          <w:bCs/>
          <w:color w:val="2E5DA6"/>
          <w:sz w:val="26"/>
          <w:szCs w:val="26"/>
        </w:rPr>
        <w:t xml:space="preserve">6.3  Scenario 3: 15% Discovery Rate (Market: 533,333)</w:t>
      </w:r>
    </w:p>
    <w:p>
      <w:pPr>
        <w:spacing w:after="140" w:before="0"/>
      </w:pPr>
      <w:r>
        <w:rPr>
          <w:rFonts w:ascii="Arial" w:cs="Arial" w:eastAsia="Arial" w:hAnsi="Arial"/>
          <w:b w:val="false"/>
          <w:bCs w:val="false"/>
          <w:i w:val="false"/>
          <w:iCs w:val="false"/>
          <w:color w:val="000000"/>
          <w:sz w:val="22"/>
          <w:szCs w:val="22"/>
        </w:rPr>
        <w:t xml:space="preserve">Scenario 3 sits between the two, with a 15% annual discovery rate implying a market of approximately 533,000 vulnerabilities and an existing pool of 453,333 at the start of Year 1. This is close to the ceiling implied by RAND’s 6.9-year average vulnerability lifespan (which suggests roughly 14% annual discovery), and represents the most empirically grounded single-point estimate from the literature. It serves as a midpoint check between Scenarios 1 and 2.</w:t>
      </w:r>
    </w:p>
    <w:p>
      <w:pPr>
        <w:spacing w:after="30" w:before="0"/>
      </w:pPr>
    </w:p>
    <w:p>
      <w:pPr>
        <w:spacing w:after="60" w:before="200"/>
      </w:pPr>
      <w:r>
        <w:rPr>
          <w:rFonts w:ascii="Arial" w:cs="Arial" w:eastAsia="Arial" w:hAnsi="Arial"/>
          <w:b/>
          <w:bCs/>
          <w:color w:val="1F3864"/>
          <w:sz w:val="22"/>
          <w:szCs w:val="22"/>
        </w:rPr>
        <w:t xml:space="preserve">Year 1</w:t>
      </w:r>
    </w:p>
    <w:p>
      <w:pPr>
        <w:spacing w:after="140" w:before="0"/>
      </w:pPr>
      <w:r>
        <w:rPr>
          <w:rFonts w:ascii="Arial" w:cs="Arial" w:eastAsia="Arial" w:hAnsi="Arial"/>
          <w:b w:val="false"/>
          <w:bCs w:val="false"/>
          <w:i w:val="false"/>
          <w:iCs w:val="false"/>
          <w:color w:val="000000"/>
          <w:sz w:val="22"/>
          <w:szCs w:val="22"/>
        </w:rPr>
        <w:t xml:space="preserve">Vendors scan 60% of 453,333 existing vulnerabilities (272,000), finding 217,600 CVEs. Attackers scan the unscanned 40% (181,333 vulnerabilities), finding 145,067 CVEs. New software contributes a further 12,800 attacker CVEs.</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Year 1 — Scenario 3</w:t>
            </w:r>
          </w:p>
          <w:p>
            <w:pPr>
              <w:spacing w:after="40" w:before="0"/>
            </w:pPr>
            <w:r>
              <w:rPr>
                <w:rFonts w:ascii="Arial" w:cs="Arial" w:eastAsia="Arial" w:hAnsi="Arial"/>
                <w:b/>
                <w:bCs/>
                <w:color w:val="2E5DA6"/>
                <w:sz w:val="22"/>
                <w:szCs w:val="22"/>
              </w:rPr>
              <w:t xml:space="preserve">Total CVEs: 375,467</w:t>
            </w:r>
            <w:r>
              <w:rPr>
                <w:rFonts w:ascii="Arial" w:cs="Arial" w:eastAsia="Arial" w:hAnsi="Arial"/>
                <w:sz w:val="22"/>
                <w:szCs w:val="22"/>
              </w:rPr>
              <w:t xml:space="preserve">  —  a 7.8× increase over the pre-LLM baseline of 48,000</w:t>
            </w:r>
          </w:p>
          <w:p>
            <w:pPr>
              <w:spacing w:after="0" w:before="0"/>
            </w:pPr>
            <w:r>
              <w:rPr>
                <w:rFonts w:ascii="Arial" w:cs="Arial" w:eastAsia="Arial" w:hAnsi="Arial"/>
                <w:sz w:val="22"/>
                <w:szCs w:val="22"/>
              </w:rPr>
              <w:t xml:space="preserve">Defender CVEs: 217,600   |   Attacker CVEs: 157,867   |   Attacker share: 42.0%</w:t>
            </w:r>
          </w:p>
        </w:tc>
      </w:tr>
    </w:tbl>
    <w:p>
      <w:pPr>
        <w:spacing w:after="30" w:before="0"/>
      </w:pPr>
    </w:p>
    <w:p>
      <w:pPr>
        <w:spacing w:after="140" w:before="0"/>
      </w:pPr>
      <w:r>
        <w:rPr>
          <w:rFonts w:ascii="Arial" w:cs="Arial" w:eastAsia="Arial" w:hAnsi="Arial"/>
          <w:b w:val="false"/>
          <w:bCs w:val="false"/>
          <w:i w:val="false"/>
          <w:iCs w:val="false"/>
          <w:color w:val="000000"/>
          <w:sz w:val="22"/>
          <w:szCs w:val="22"/>
        </w:rPr>
        <w:t xml:space="preserve">The pool drops from 453,333 to 52,267 — an 88% reduction in Year 1. By Year 3 the pool stabilises near 20,000 and CVE volumes converge toward the same ~27,000 per year steady state as the other scenarios.</w:t>
      </w:r>
    </w:p>
    <w:p>
      <w:pPr>
        <w:spacing w:after="30" w:before="0"/>
      </w:pPr>
    </w:p>
    <w:p>
      <w:pPr>
        <w:spacing w:after="60" w:before="200"/>
      </w:pPr>
      <w:r>
        <w:rPr>
          <w:rFonts w:ascii="Arial" w:cs="Arial" w:eastAsia="Arial" w:hAnsi="Arial"/>
          <w:b/>
          <w:bCs/>
          <w:color w:val="1F3864"/>
          <w:sz w:val="22"/>
          <w:szCs w:val="22"/>
        </w:rPr>
        <w:t xml:space="preserve">Five-Year Summary — Scenario 3</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1660"/>
        <w:gridCol w:w="1360"/>
        <w:gridCol w:w="1440"/>
        <w:gridCol w:w="1600"/>
        <w:gridCol w:w="1660"/>
        <w:gridCol w:w="940"/>
      </w:tblGrid>
      <w:tr>
        <w:trPr>
          <w:tblHeader/>
        </w:trPr>
        <w:tc>
          <w:tcPr>
            <w:tcW w:type="dxa" w:w="16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Year / Period</w:t>
            </w:r>
          </w:p>
        </w:tc>
        <w:tc>
          <w:tcPr>
            <w:tcW w:type="dxa" w:w="13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Vuln Pool
(start)</w:t>
            </w:r>
          </w:p>
        </w:tc>
        <w:tc>
          <w:tcPr>
            <w:tcW w:type="dxa" w:w="144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Total CVEs
Published</w:t>
            </w:r>
          </w:p>
        </w:tc>
        <w:tc>
          <w:tcPr>
            <w:tcW w:type="dxa" w:w="16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Defender
CVEs</w:t>
            </w:r>
          </w:p>
        </w:tc>
        <w:tc>
          <w:tcPr>
            <w:tcW w:type="dxa" w:w="16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CVEs</w:t>
            </w:r>
          </w:p>
        </w:tc>
        <w:tc>
          <w:tcPr>
            <w:tcW w:type="dxa" w:w="94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Share</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bCs/>
                <w:color w:val="595959"/>
                <w:sz w:val="19"/>
                <w:szCs w:val="19"/>
              </w:rPr>
              <w:t xml:space="preserve">Baseline (pre-LLM)</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453,333</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595959"/>
                <w:sz w:val="19"/>
                <w:szCs w:val="19"/>
              </w:rPr>
              <w:t xml:space="preserve">48,000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32,000</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16,000</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33.3%</w:t>
            </w:r>
          </w:p>
        </w:tc>
      </w:tr>
      <w:tr>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left"/>
            </w:pPr>
            <w:r>
              <w:rPr>
                <w:rFonts w:ascii="Arial" w:cs="Arial" w:eastAsia="Arial" w:hAnsi="Arial"/>
                <w:b/>
                <w:bCs/>
                <w:color w:val="000000"/>
                <w:sz w:val="19"/>
                <w:szCs w:val="19"/>
              </w:rPr>
              <w:t xml:space="preserve">Year 1</w:t>
            </w:r>
          </w:p>
        </w:tc>
        <w:tc>
          <w:tcPr>
            <w:tcW w:type="dxa" w:w="13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453,333</w:t>
            </w:r>
          </w:p>
        </w:tc>
        <w:tc>
          <w:tcPr>
            <w:tcW w:type="dxa" w:w="14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2E5DA6"/>
                <w:sz w:val="19"/>
                <w:szCs w:val="19"/>
              </w:rPr>
              <w:t xml:space="preserve">375,467</w:t>
            </w:r>
          </w:p>
        </w:tc>
        <w:tc>
          <w:tcPr>
            <w:tcW w:type="dxa" w:w="160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217,600</w:t>
            </w:r>
          </w:p>
        </w:tc>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157,867</w:t>
            </w:r>
          </w:p>
        </w:tc>
        <w:tc>
          <w:tcPr>
            <w:tcW w:type="dxa" w:w="9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42.0%</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2</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52,267</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54,613</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25,088</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29,525</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54.1%</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3</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20,181</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28,945</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9,687</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19,258</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66.5%</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4</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17,615</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26,892</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8,455</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18,437</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68.6%</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5</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17,409</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26,727</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8,356</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18,371</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68.7%</w:t>
            </w:r>
          </w:p>
        </w:tc>
      </w:tr>
    </w:tbl>
    <w:p>
      <w:pPr>
        <w:spacing w:after="50" w:before="0"/>
      </w:pPr>
    </w:p>
    <w:p>
      <w:pPr>
        <w:spacing w:after="140" w:before="0"/>
      </w:pPr>
      <w:r>
        <w:rPr>
          <w:rFonts w:ascii="Arial" w:cs="Arial" w:eastAsia="Arial" w:hAnsi="Arial"/>
          <w:b w:val="false"/>
          <w:bCs w:val="false"/>
          <w:i/>
          <w:iCs/>
          <w:color w:val="595959"/>
          <w:sz w:val="22"/>
          <w:szCs w:val="22"/>
        </w:rPr>
        <w:t xml:space="preserve">Note: ‘Defender CVEs’ reflects vendor-found CVEs in existing software only. Vendor-found vulnerabilities in new software are fixed pre-release (no CVE). Baseline pool of 453,333 = existing software portion of the 533,333-vulnerability market.</w:t>
      </w:r>
    </w:p>
    <w:p>
      <w:pPr>
        <w:spacing w:after="80" w:before="0"/>
      </w:pPr>
    </w:p>
    <w:p>
      <w:pPr>
        <w:pStyle w:val="Heading2"/>
        <w:spacing w:after="60" w:before="280"/>
      </w:pPr>
      <w:r>
        <w:rPr>
          <w:rFonts w:ascii="Arial" w:cs="Arial" w:eastAsia="Arial" w:hAnsi="Arial"/>
          <w:b/>
          <w:bCs/>
          <w:color w:val="2E5DA6"/>
          <w:sz w:val="26"/>
          <w:szCs w:val="26"/>
        </w:rPr>
        <w:t xml:space="preserve">6.4  Scenario 4: Reduced LLM Capability (60%, Symmetric)</w:t>
      </w:r>
    </w:p>
    <w:p>
      <w:pPr>
        <w:spacing w:after="140" w:before="0"/>
      </w:pPr>
      <w:r>
        <w:rPr>
          <w:rFonts w:ascii="Arial" w:cs="Arial" w:eastAsia="Arial" w:hAnsi="Arial"/>
          <w:b w:val="false"/>
          <w:bCs w:val="false"/>
          <w:i w:val="false"/>
          <w:iCs w:val="false"/>
          <w:color w:val="000000"/>
          <w:sz w:val="22"/>
          <w:szCs w:val="22"/>
        </w:rPr>
        <w:t xml:space="preserve">Scenarios 1 through 3 assume LLMs find 80% of vulnerabilities in scanned code, consistent with the Firefox benchmark (Mozilla/Anthropic, 2025). Scenario 4 tests whether the CVE surge can be moderated by assuming a lower LLM capability of 60%, applied symmetrically to both vendors and attackers. This symmetry is essential: the attacker capture rate in this model is the LLM find rate applied to the unscanned 40% of existing software, so reducing capability must be applied to both sides or the scenario becomes internally inconsistent.</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Three structural differences emerge from this change. First, Year 1 CVEs fall by 25% across all market-size assumptions. Second, the Year 1 attacker share is ‘unchanged’ relative to the 80% scenarios: because both sides are weakened proportionally, the ratio of attacker to defender finds holds constant. Third, the steady-state CVE floor rises to approximately 32,600–32,700 per year — higher than the ~26,700 in the 80% scenarios — because a less capable LLM misses more vulnerabilities each year, producing a larger persistent pool.</w:t>
      </w:r>
    </w:p>
    <w:p>
      <w:pPr>
        <w:spacing w:after="5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What ‘60% LLM’ means in the model</w:t>
            </w:r>
          </w:p>
          <w:p>
            <w:pPr>
              <w:spacing w:after="60" w:before="0"/>
            </w:pPr>
            <w:r>
              <w:rPr>
                <w:rFonts w:ascii="Arial" w:cs="Arial" w:eastAsia="Arial" w:hAnsi="Arial"/>
                <w:b/>
                <w:bCs/>
                <w:sz w:val="22"/>
                <w:szCs w:val="22"/>
              </w:rPr>
              <w:t xml:space="preserve">Vendors (new software): </w:t>
            </w:r>
            <w:r>
              <w:rPr>
                <w:rFonts w:ascii="Arial" w:cs="Arial" w:eastAsia="Arial" w:hAnsi="Arial"/>
                <w:sz w:val="22"/>
                <w:szCs w:val="22"/>
              </w:rPr>
              <w:t xml:space="preserve">find 60% × 80% = 48% fixed silently (was 64%). Attacker CVEs from new sw: 9,600/yr (was 12,800).</w:t>
            </w:r>
          </w:p>
          <w:p>
            <w:pPr>
              <w:spacing w:after="60" w:before="0"/>
            </w:pPr>
            <w:r>
              <w:rPr>
                <w:rFonts w:ascii="Arial" w:cs="Arial" w:eastAsia="Arial" w:hAnsi="Arial"/>
                <w:b/>
                <w:bCs/>
                <w:sz w:val="22"/>
                <w:szCs w:val="22"/>
              </w:rPr>
              <w:t xml:space="preserve">Vendors (existing software): </w:t>
            </w:r>
            <w:r>
              <w:rPr>
                <w:rFonts w:ascii="Arial" w:cs="Arial" w:eastAsia="Arial" w:hAnsi="Arial"/>
                <w:sz w:val="22"/>
                <w:szCs w:val="22"/>
              </w:rPr>
              <w:t xml:space="preserve">find 60% of 60% of pool = 36% of pool (was 48%).</w:t>
            </w:r>
          </w:p>
          <w:p>
            <w:pPr>
              <w:spacing w:after="0" w:before="0"/>
            </w:pPr>
            <w:r>
              <w:rPr>
                <w:rFonts w:ascii="Arial" w:cs="Arial" w:eastAsia="Arial" w:hAnsi="Arial"/>
                <w:b/>
                <w:bCs/>
                <w:sz w:val="22"/>
                <w:szCs w:val="22"/>
              </w:rPr>
              <w:t xml:space="preserve">Attackers (existing software): </w:t>
            </w:r>
            <w:r>
              <w:rPr>
                <w:rFonts w:ascii="Arial" w:cs="Arial" w:eastAsia="Arial" w:hAnsi="Arial"/>
                <w:sz w:val="22"/>
                <w:szCs w:val="22"/>
              </w:rPr>
              <w:t xml:space="preserve">find 60% of unscanned 40% = 24% of pool (was 32%). Both sides weakened proportionally.</w:t>
            </w:r>
          </w:p>
        </w:tc>
      </w:tr>
    </w:tbl>
    <w:p>
      <w:pPr>
        <w:spacing w:after="50" w:before="0"/>
      </w:pPr>
    </w:p>
    <w:p>
      <w:pPr>
        <w:spacing w:after="60" w:before="200"/>
      </w:pPr>
      <w:r>
        <w:rPr>
          <w:rFonts w:ascii="Arial" w:cs="Arial" w:eastAsia="Arial" w:hAnsi="Arial"/>
          <w:b/>
          <w:bCs/>
          <w:color w:val="1F3864"/>
          <w:sz w:val="22"/>
          <w:szCs w:val="22"/>
        </w:rPr>
        <w:t xml:space="preserve">Year 1 Results (shown at 15% discovery rate / S3 market)</w:t>
      </w:r>
    </w:p>
    <w:p>
      <w:pPr>
        <w:spacing w:after="140" w:before="0"/>
      </w:pPr>
      <w:r>
        <w:rPr>
          <w:rFonts w:ascii="Arial" w:cs="Arial" w:eastAsia="Arial" w:hAnsi="Arial"/>
          <w:b w:val="false"/>
          <w:bCs w:val="false"/>
          <w:i w:val="false"/>
          <w:iCs w:val="false"/>
          <w:color w:val="000000"/>
          <w:sz w:val="22"/>
          <w:szCs w:val="22"/>
        </w:rPr>
        <w:t xml:space="preserve">Vendors scan 60% of 453,333 existing vulnerabilities with LLMs at 60% capability, finding 163,200 CVEs. Attackers scan the unscanned 40% at 60% capability, finding 108,800 CVEs. New software contributes a further 9,600 attacker CVEs.</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Year 1 — Scenario 4 (15% discovery, 60% LLM)</w:t>
            </w:r>
          </w:p>
          <w:p>
            <w:pPr>
              <w:spacing w:after="40" w:before="0"/>
            </w:pPr>
            <w:r>
              <w:rPr>
                <w:rFonts w:ascii="Arial" w:cs="Arial" w:eastAsia="Arial" w:hAnsi="Arial"/>
                <w:b/>
                <w:bCs/>
                <w:color w:val="2E5DA6"/>
                <w:sz w:val="22"/>
                <w:szCs w:val="22"/>
              </w:rPr>
              <w:t xml:space="preserve">Total CVEs: 281,600</w:t>
            </w:r>
            <w:r>
              <w:rPr>
                <w:rFonts w:ascii="Arial" w:cs="Arial" w:eastAsia="Arial" w:hAnsi="Arial"/>
                <w:sz w:val="22"/>
                <w:szCs w:val="22"/>
              </w:rPr>
              <w:t xml:space="preserve">  —  5.9× baseline (was 7.8× at 80% LLM)</w:t>
            </w:r>
          </w:p>
          <w:p>
            <w:pPr>
              <w:spacing w:after="0" w:before="0"/>
            </w:pPr>
            <w:r>
              <w:rPr>
                <w:rFonts w:ascii="Arial" w:cs="Arial" w:eastAsia="Arial" w:hAnsi="Arial"/>
                <w:sz w:val="22"/>
                <w:szCs w:val="22"/>
              </w:rPr>
              <w:t xml:space="preserve">Defender CVEs: 163,200   |   Attacker CVEs: 118,400   |   Attacker share: 42.0%  (unchanged from 80% LLM)</w:t>
            </w:r>
          </w:p>
        </w:tc>
      </w:tr>
    </w:tbl>
    <w:p>
      <w:pPr>
        <w:spacing w:after="40" w:before="0"/>
      </w:pPr>
    </w:p>
    <w:p>
      <w:pPr>
        <w:spacing w:after="60" w:before="200"/>
      </w:pPr>
      <w:r>
        <w:rPr>
          <w:rFonts w:ascii="Arial" w:cs="Arial" w:eastAsia="Arial" w:hAnsi="Arial"/>
          <w:b/>
          <w:bCs/>
          <w:color w:val="1F3864"/>
          <w:sz w:val="22"/>
          <w:szCs w:val="22"/>
        </w:rPr>
        <w:t xml:space="preserve">Five-Year Summary — Scenario 4 (15% discovery rate, 60% LLM)</w:t>
      </w:r>
    </w:p>
    <w:p>
      <w:pPr>
        <w:spacing w:after="3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1660"/>
        <w:gridCol w:w="1360"/>
        <w:gridCol w:w="1440"/>
        <w:gridCol w:w="1600"/>
        <w:gridCol w:w="1660"/>
        <w:gridCol w:w="940"/>
      </w:tblGrid>
      <w:tr>
        <w:trPr>
          <w:tblHeader/>
        </w:trPr>
        <w:tc>
          <w:tcPr>
            <w:tcW w:type="dxa" w:w="16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Year / Period</w:t>
            </w:r>
          </w:p>
        </w:tc>
        <w:tc>
          <w:tcPr>
            <w:tcW w:type="dxa" w:w="13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Vuln Pool
(start)</w:t>
            </w:r>
          </w:p>
        </w:tc>
        <w:tc>
          <w:tcPr>
            <w:tcW w:type="dxa" w:w="144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Total CVEs
Published</w:t>
            </w:r>
          </w:p>
        </w:tc>
        <w:tc>
          <w:tcPr>
            <w:tcW w:type="dxa" w:w="16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Defender
CVEs</w:t>
            </w:r>
          </w:p>
        </w:tc>
        <w:tc>
          <w:tcPr>
            <w:tcW w:type="dxa" w:w="166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CVEs</w:t>
            </w:r>
          </w:p>
        </w:tc>
        <w:tc>
          <w:tcPr>
            <w:tcW w:type="dxa" w:w="94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Attacker
Share</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bCs/>
                <w:color w:val="595959"/>
                <w:sz w:val="19"/>
                <w:szCs w:val="19"/>
              </w:rPr>
              <w:t xml:space="preserve">Baseline (pre-LLM)</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453,333</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595959"/>
                <w:sz w:val="19"/>
                <w:szCs w:val="19"/>
              </w:rPr>
              <w:t xml:space="preserve">48,000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32,000</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16,000</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595959"/>
                <w:sz w:val="19"/>
                <w:szCs w:val="19"/>
              </w:rPr>
              <w:t xml:space="preserve">33.3%</w:t>
            </w:r>
          </w:p>
        </w:tc>
      </w:tr>
      <w:tr>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left"/>
            </w:pPr>
            <w:r>
              <w:rPr>
                <w:rFonts w:ascii="Arial" w:cs="Arial" w:eastAsia="Arial" w:hAnsi="Arial"/>
                <w:b/>
                <w:bCs/>
                <w:color w:val="000000"/>
                <w:sz w:val="19"/>
                <w:szCs w:val="19"/>
              </w:rPr>
              <w:t xml:space="preserve">Year 1</w:t>
            </w:r>
          </w:p>
        </w:tc>
        <w:tc>
          <w:tcPr>
            <w:tcW w:type="dxa" w:w="13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453,333</w:t>
            </w:r>
          </w:p>
        </w:tc>
        <w:tc>
          <w:tcPr>
            <w:tcW w:type="dxa" w:w="14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2E5DA6"/>
                <w:sz w:val="19"/>
                <w:szCs w:val="19"/>
              </w:rPr>
              <w:t xml:space="preserve">281,600</w:t>
            </w:r>
          </w:p>
        </w:tc>
        <w:tc>
          <w:tcPr>
            <w:tcW w:type="dxa" w:w="160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163,200</w:t>
            </w:r>
          </w:p>
        </w:tc>
        <w:tc>
          <w:tcPr>
            <w:tcW w:type="dxa" w:w="166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118,400</w:t>
            </w:r>
          </w:p>
        </w:tc>
        <w:tc>
          <w:tcPr>
            <w:tcW w:type="dxa" w:w="940"/>
            <w:tcBorders>
              <w:top w:val="single" w:color="B0BED0" w:sz="1"/>
              <w:left w:val="single" w:color="B0BED0" w:sz="1"/>
              <w:bottom w:val="single" w:color="B0BED0" w:sz="1"/>
              <w:right w:val="single" w:color="B0BED0" w:sz="1"/>
            </w:tcBorders>
            <w:shd w:fill="D5E0F0" w:val="clear"/>
            <w:tcMar>
              <w:top w:type="dxa" w:w="65"/>
              <w:left w:type="dxa" w:w="130"/>
              <w:bottom w:type="dxa" w:w="65"/>
              <w:right w:type="dxa" w:w="130"/>
            </w:tcMar>
          </w:tcPr>
          <w:p>
            <w:pPr>
              <w:jc w:val="right"/>
            </w:pPr>
            <w:r>
              <w:rPr>
                <w:rFonts w:ascii="Arial" w:cs="Arial" w:eastAsia="Arial" w:hAnsi="Arial"/>
                <w:b/>
                <w:bCs/>
                <w:color w:val="C00000"/>
                <w:sz w:val="19"/>
                <w:szCs w:val="19"/>
              </w:rPr>
              <w:t xml:space="preserve">42.0%</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2</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104,533</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72,320</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37,632</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34,688</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48.0%</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3</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48,725</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38,835</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17,541</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21,294</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54.8%</w:t>
            </w:r>
          </w:p>
        </w:tc>
      </w:tr>
      <w:tr>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4</w:t>
            </w:r>
          </w:p>
        </w:tc>
        <w:tc>
          <w:tcPr>
            <w:tcW w:type="dxa" w:w="13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39,796</w:t>
            </w:r>
          </w:p>
        </w:tc>
        <w:tc>
          <w:tcPr>
            <w:tcW w:type="dxa" w:w="14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33,478</w:t>
            </w:r>
          </w:p>
        </w:tc>
        <w:tc>
          <w:tcPr>
            <w:tcW w:type="dxa" w:w="16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14,327</w:t>
            </w:r>
          </w:p>
        </w:tc>
        <w:tc>
          <w:tcPr>
            <w:tcW w:type="dxa" w:w="166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19,151</w:t>
            </w:r>
          </w:p>
        </w:tc>
        <w:tc>
          <w:tcPr>
            <w:tcW w:type="dxa" w:w="94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57.2%</w:t>
            </w:r>
          </w:p>
        </w:tc>
      </w:tr>
      <w:tr>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val="false"/>
                <w:bCs w:val="false"/>
                <w:color w:val="000000"/>
                <w:sz w:val="19"/>
                <w:szCs w:val="19"/>
              </w:rPr>
              <w:t xml:space="preserve">Year 5</w:t>
            </w:r>
          </w:p>
        </w:tc>
        <w:tc>
          <w:tcPr>
            <w:tcW w:type="dxa" w:w="13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38,367</w:t>
            </w:r>
          </w:p>
        </w:tc>
        <w:tc>
          <w:tcPr>
            <w:tcW w:type="dxa" w:w="14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bCs/>
                <w:color w:val="000000"/>
                <w:sz w:val="19"/>
                <w:szCs w:val="19"/>
              </w:rPr>
              <w:t xml:space="preserve">32,620</w:t>
            </w:r>
          </w:p>
        </w:tc>
        <w:tc>
          <w:tcPr>
            <w:tcW w:type="dxa" w:w="16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13,812</w:t>
            </w:r>
          </w:p>
        </w:tc>
        <w:tc>
          <w:tcPr>
            <w:tcW w:type="dxa" w:w="166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18,808</w:t>
            </w:r>
          </w:p>
        </w:tc>
        <w:tc>
          <w:tcPr>
            <w:tcW w:type="dxa" w:w="94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C00000"/>
                <w:sz w:val="19"/>
                <w:szCs w:val="19"/>
              </w:rPr>
              <w:t xml:space="preserve">57.7%</w:t>
            </w:r>
          </w:p>
        </w:tc>
      </w:tr>
    </w:tbl>
    <w:p>
      <w:pPr>
        <w:spacing w:after="50" w:before="0"/>
      </w:pPr>
    </w:p>
    <w:p>
      <w:pPr>
        <w:spacing w:after="140" w:before="0"/>
      </w:pPr>
      <w:r>
        <w:rPr>
          <w:rFonts w:ascii="Arial" w:cs="Arial" w:eastAsia="Arial" w:hAnsi="Arial"/>
          <w:b w:val="false"/>
          <w:bCs w:val="false"/>
          <w:i/>
          <w:iCs/>
          <w:color w:val="595959"/>
          <w:sz w:val="22"/>
          <w:szCs w:val="22"/>
        </w:rPr>
        <w:t xml:space="preserve">Note: Scenario 4 uses the same 15% discovery rate / 533,333-vulnerability market as Scenario 3, with LLM capability reduced from 80% to 60% applied symmetrically to both defenders and attackers.</w:t>
      </w:r>
    </w:p>
    <w:p>
      <w:pPr>
        <w:spacing w:after="60" w:before="0"/>
      </w:pPr>
    </w:p>
    <w:p>
      <w:pPr>
        <w:spacing w:after="60" w:before="200"/>
      </w:pPr>
      <w:r>
        <w:rPr>
          <w:rFonts w:ascii="Arial" w:cs="Arial" w:eastAsia="Arial" w:hAnsi="Arial"/>
          <w:b/>
          <w:bCs/>
          <w:color w:val="1F3864"/>
          <w:sz w:val="22"/>
          <w:szCs w:val="22"/>
        </w:rPr>
        <w:t xml:space="preserve">Cross-Scenario Comparison: 80% vs. 60% LLM Capability</w:t>
      </w:r>
    </w:p>
    <w:p>
      <w:pPr>
        <w:spacing w:after="20" w:before="0"/>
      </w:pPr>
    </w:p>
    <w:p>
      <w:pPr>
        <w:spacing w:after="140" w:before="0"/>
      </w:pPr>
      <w:r>
        <w:rPr>
          <w:rFonts w:ascii="Arial" w:cs="Arial" w:eastAsia="Arial" w:hAnsi="Arial"/>
          <w:b w:val="false"/>
          <w:bCs w:val="false"/>
          <w:i w:val="false"/>
          <w:iCs w:val="false"/>
          <w:color w:val="000000"/>
          <w:sz w:val="22"/>
          <w:szCs w:val="22"/>
        </w:rPr>
        <w:t xml:space="preserve">The table below compares Year 1 and Year 5 outputs across all three market sizes, contrasting 80% and 60% LLM capability. The 25% Year 1 reduction is consistent across market sizes. Year 5 attacker share under 60% LLM converges to approximately 57.7% — still nearly double the pre-LLM baseline of 33.3%, but meaningfully lower than the 68.7% produced by the 80% LLM scenarios.</w:t>
      </w:r>
    </w:p>
    <w:p>
      <w:pPr>
        <w:spacing w:after="30" w:before="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1200"/>
        <w:gridCol w:w="900"/>
        <w:gridCol w:w="1100"/>
        <w:gridCol w:w="1100"/>
        <w:gridCol w:w="980"/>
        <w:gridCol w:w="980"/>
      </w:tblGrid>
      <w:tr>
        <w:trPr>
          <w:tblHeader/>
        </w:trPr>
        <w:tc>
          <w:tcPr>
            <w:tcW w:type="dxa" w:w="18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Scenario</w:t>
            </w:r>
          </w:p>
        </w:tc>
        <w:tc>
          <w:tcPr>
            <w:tcW w:type="dxa" w:w="12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Y1: 80% LLM</w:t>
            </w:r>
          </w:p>
        </w:tc>
        <w:tc>
          <w:tcPr>
            <w:tcW w:type="dxa" w:w="12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Y1: 60% LLM</w:t>
            </w:r>
          </w:p>
        </w:tc>
        <w:tc>
          <w:tcPr>
            <w:tcW w:type="dxa" w:w="9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Change</w:t>
            </w:r>
          </w:p>
        </w:tc>
        <w:tc>
          <w:tcPr>
            <w:tcW w:type="dxa" w:w="11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Y5: 80% LLM</w:t>
            </w:r>
          </w:p>
        </w:tc>
        <w:tc>
          <w:tcPr>
            <w:tcW w:type="dxa" w:w="110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Y5: 60% LLM</w:t>
            </w:r>
          </w:p>
        </w:tc>
        <w:tc>
          <w:tcPr>
            <w:tcW w:type="dxa" w:w="98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Y5 Atk%
80%</w:t>
            </w:r>
          </w:p>
        </w:tc>
        <w:tc>
          <w:tcPr>
            <w:tcW w:type="dxa" w:w="980"/>
            <w:tcBorders>
              <w:top w:val="single" w:color="B0BED0" w:sz="1"/>
              <w:left w:val="single" w:color="B0BED0" w:sz="1"/>
              <w:bottom w:val="single" w:color="B0BED0" w:sz="1"/>
              <w:right w:val="single" w:color="B0BED0" w:sz="1"/>
            </w:tcBorders>
            <w:shd w:fill="1F3864" w:val="clear"/>
            <w:tcMar>
              <w:top w:type="dxa" w:w="80"/>
              <w:left w:type="dxa" w:w="130"/>
              <w:bottom w:type="dxa" w:w="80"/>
              <w:right w:type="dxa" w:w="130"/>
            </w:tcMar>
          </w:tcPr>
          <w:p>
            <w:pPr>
              <w:jc w:val="center"/>
            </w:pPr>
            <w:r>
              <w:rPr>
                <w:rFonts w:ascii="Arial" w:cs="Arial" w:eastAsia="Arial" w:hAnsi="Arial"/>
                <w:b/>
                <w:bCs/>
                <w:color w:val="FFFFFF"/>
                <w:sz w:val="19"/>
                <w:szCs w:val="19"/>
              </w:rPr>
              <w:t xml:space="preserve">Y5 Atk%
60%</w:t>
            </w:r>
          </w:p>
        </w:tc>
      </w:tr>
      <w:tr>
        <w:tc>
          <w:tcPr>
            <w:tcW w:type="dxa" w:w="18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bCs/>
                <w:color w:val="000000"/>
                <w:sz w:val="19"/>
                <w:szCs w:val="19"/>
              </w:rPr>
              <w:t xml:space="preserve">S1  10% discovery</w:t>
            </w:r>
          </w:p>
        </w:tc>
        <w:tc>
          <w:tcPr>
            <w:tcW w:type="dxa" w:w="12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588,800</w:t>
            </w:r>
          </w:p>
        </w:tc>
        <w:tc>
          <w:tcPr>
            <w:tcW w:type="dxa" w:w="12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441,600</w:t>
            </w:r>
          </w:p>
        </w:tc>
        <w:tc>
          <w:tcPr>
            <w:tcW w:type="dxa" w:w="9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−25%</w:t>
            </w:r>
          </w:p>
        </w:tc>
        <w:tc>
          <w:tcPr>
            <w:tcW w:type="dxa" w:w="11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26,736</w:t>
            </w:r>
          </w:p>
        </w:tc>
        <w:tc>
          <w:tcPr>
            <w:tcW w:type="dxa" w:w="11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32,725</w:t>
            </w:r>
          </w:p>
        </w:tc>
        <w:tc>
          <w:tcPr>
            <w:tcW w:type="dxa" w:w="98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68.7%</w:t>
            </w:r>
          </w:p>
        </w:tc>
        <w:tc>
          <w:tcPr>
            <w:tcW w:type="dxa" w:w="98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7B5E00"/>
                <w:sz w:val="19"/>
                <w:szCs w:val="19"/>
              </w:rPr>
              <w:t xml:space="preserve">57.6%</w:t>
            </w:r>
          </w:p>
        </w:tc>
      </w:tr>
      <w:tr>
        <w:tc>
          <w:tcPr>
            <w:tcW w:type="dxa" w:w="18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left"/>
            </w:pPr>
            <w:r>
              <w:rPr>
                <w:rFonts w:ascii="Arial" w:cs="Arial" w:eastAsia="Arial" w:hAnsi="Arial"/>
                <w:b/>
                <w:bCs/>
                <w:color w:val="000000"/>
                <w:sz w:val="19"/>
                <w:szCs w:val="19"/>
              </w:rPr>
              <w:t xml:space="preserve">S3  15% discovery</w:t>
            </w:r>
          </w:p>
        </w:tc>
        <w:tc>
          <w:tcPr>
            <w:tcW w:type="dxa" w:w="12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375,467</w:t>
            </w:r>
          </w:p>
        </w:tc>
        <w:tc>
          <w:tcPr>
            <w:tcW w:type="dxa" w:w="12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281,600</w:t>
            </w:r>
          </w:p>
        </w:tc>
        <w:tc>
          <w:tcPr>
            <w:tcW w:type="dxa" w:w="9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−25%</w:t>
            </w:r>
          </w:p>
        </w:tc>
        <w:tc>
          <w:tcPr>
            <w:tcW w:type="dxa" w:w="11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26,727</w:t>
            </w:r>
          </w:p>
        </w:tc>
        <w:tc>
          <w:tcPr>
            <w:tcW w:type="dxa" w:w="110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32,620</w:t>
            </w:r>
          </w:p>
        </w:tc>
        <w:tc>
          <w:tcPr>
            <w:tcW w:type="dxa" w:w="98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68.7%</w:t>
            </w:r>
          </w:p>
        </w:tc>
        <w:tc>
          <w:tcPr>
            <w:tcW w:type="dxa" w:w="980"/>
            <w:tcBorders>
              <w:top w:val="single" w:color="B0BED0" w:sz="1"/>
              <w:left w:val="single" w:color="B0BED0" w:sz="1"/>
              <w:bottom w:val="single" w:color="B0BED0" w:sz="1"/>
              <w:right w:val="single" w:color="B0BED0" w:sz="1"/>
            </w:tcBorders>
            <w:shd w:fill="FFFFFF" w:val="clear"/>
            <w:tcMar>
              <w:top w:type="dxa" w:w="65"/>
              <w:left w:type="dxa" w:w="130"/>
              <w:bottom w:type="dxa" w:w="65"/>
              <w:right w:type="dxa" w:w="130"/>
            </w:tcMar>
          </w:tcPr>
          <w:p>
            <w:pPr>
              <w:jc w:val="right"/>
            </w:pPr>
            <w:r>
              <w:rPr>
                <w:rFonts w:ascii="Arial" w:cs="Arial" w:eastAsia="Arial" w:hAnsi="Arial"/>
                <w:b w:val="false"/>
                <w:bCs w:val="false"/>
                <w:color w:val="7B5E00"/>
                <w:sz w:val="19"/>
                <w:szCs w:val="19"/>
              </w:rPr>
              <w:t xml:space="preserve">57.7%</w:t>
            </w:r>
          </w:p>
        </w:tc>
      </w:tr>
      <w:tr>
        <w:tc>
          <w:tcPr>
            <w:tcW w:type="dxa" w:w="18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left"/>
            </w:pPr>
            <w:r>
              <w:rPr>
                <w:rFonts w:ascii="Arial" w:cs="Arial" w:eastAsia="Arial" w:hAnsi="Arial"/>
                <w:b/>
                <w:bCs/>
                <w:color w:val="000000"/>
                <w:sz w:val="19"/>
                <w:szCs w:val="19"/>
              </w:rPr>
              <w:t xml:space="preserve">S2  20% discovery</w:t>
            </w:r>
          </w:p>
        </w:tc>
        <w:tc>
          <w:tcPr>
            <w:tcW w:type="dxa" w:w="12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268,800</w:t>
            </w:r>
          </w:p>
        </w:tc>
        <w:tc>
          <w:tcPr>
            <w:tcW w:type="dxa" w:w="12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201,600</w:t>
            </w:r>
          </w:p>
        </w:tc>
        <w:tc>
          <w:tcPr>
            <w:tcW w:type="dxa" w:w="9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375623"/>
                <w:sz w:val="19"/>
                <w:szCs w:val="19"/>
              </w:rPr>
              <w:t xml:space="preserve">−25%</w:t>
            </w:r>
          </w:p>
        </w:tc>
        <w:tc>
          <w:tcPr>
            <w:tcW w:type="dxa" w:w="11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26,723</w:t>
            </w:r>
          </w:p>
        </w:tc>
        <w:tc>
          <w:tcPr>
            <w:tcW w:type="dxa" w:w="110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32,568</w:t>
            </w:r>
          </w:p>
        </w:tc>
        <w:tc>
          <w:tcPr>
            <w:tcW w:type="dxa" w:w="98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000000"/>
                <w:sz w:val="19"/>
                <w:szCs w:val="19"/>
              </w:rPr>
              <w:t xml:space="preserve">68.7%</w:t>
            </w:r>
          </w:p>
        </w:tc>
        <w:tc>
          <w:tcPr>
            <w:tcW w:type="dxa" w:w="980"/>
            <w:tcBorders>
              <w:top w:val="single" w:color="B0BED0" w:sz="1"/>
              <w:left w:val="single" w:color="B0BED0" w:sz="1"/>
              <w:bottom w:val="single" w:color="B0BED0" w:sz="1"/>
              <w:right w:val="single" w:color="B0BED0" w:sz="1"/>
            </w:tcBorders>
            <w:shd w:fill="EEF3FA" w:val="clear"/>
            <w:tcMar>
              <w:top w:type="dxa" w:w="65"/>
              <w:left w:type="dxa" w:w="130"/>
              <w:bottom w:type="dxa" w:w="65"/>
              <w:right w:type="dxa" w:w="130"/>
            </w:tcMar>
          </w:tcPr>
          <w:p>
            <w:pPr>
              <w:jc w:val="right"/>
            </w:pPr>
            <w:r>
              <w:rPr>
                <w:rFonts w:ascii="Arial" w:cs="Arial" w:eastAsia="Arial" w:hAnsi="Arial"/>
                <w:b w:val="false"/>
                <w:bCs w:val="false"/>
                <w:color w:val="7B5E00"/>
                <w:sz w:val="19"/>
                <w:szCs w:val="19"/>
              </w:rPr>
              <w:t xml:space="preserve">57.7%</w:t>
            </w:r>
          </w:p>
        </w:tc>
      </w:tr>
    </w:tbl>
    <w:p>
      <w:pPr>
        <w:spacing w:after="50" w:before="0"/>
      </w:pPr>
    </w:p>
    <w:p>
      <w:pPr>
        <w:spacing w:after="140" w:before="0"/>
      </w:pPr>
      <w:r>
        <w:rPr>
          <w:rFonts w:ascii="Arial" w:cs="Arial" w:eastAsia="Arial" w:hAnsi="Arial"/>
          <w:b w:val="false"/>
          <w:bCs w:val="false"/>
          <w:i/>
          <w:iCs/>
          <w:color w:val="595959"/>
          <w:sz w:val="22"/>
          <w:szCs w:val="22"/>
        </w:rPr>
        <w:t xml:space="preserve">Change column shows reduction in Year 1 CVEs moving from 80% to 60% LLM capability. Y5 attacker share percentages apply to published CVEs only.</w:t>
      </w:r>
    </w:p>
    <w:p>
      <w:pPr>
        <w:spacing w:after="80" w:before="0"/>
      </w:pPr>
    </w:p>
    <w:p>
      <w:pPr>
        <w:spacing w:after="80" w:before="0"/>
      </w:pPr>
    </w:p>
    <w:p>
      <w:pPr>
        <w:pStyle w:val="Heading1"/>
        <w:spacing w:after="80" w:before="440"/>
      </w:pPr>
      <w:r>
        <w:rPr>
          <w:rFonts w:ascii="Arial" w:cs="Arial" w:eastAsia="Arial" w:hAnsi="Arial"/>
          <w:b/>
          <w:bCs/>
          <w:color w:val="1F3864"/>
          <w:sz w:val="34"/>
          <w:szCs w:val="34"/>
        </w:rPr>
        <w:t xml:space="preserve">7. Key Findings</w:t>
      </w:r>
    </w:p>
    <w:p>
      <w:pPr>
        <w:spacing w:after="30" w:before="0"/>
      </w:pPr>
    </w:p>
    <w:p>
      <w:pPr>
        <w:pStyle w:val="Heading2"/>
        <w:spacing w:after="60" w:before="280"/>
      </w:pPr>
      <w:r>
        <w:rPr>
          <w:rFonts w:ascii="Arial" w:cs="Arial" w:eastAsia="Arial" w:hAnsi="Arial"/>
          <w:b/>
          <w:bCs/>
          <w:color w:val="2E5DA6"/>
          <w:sz w:val="26"/>
          <w:szCs w:val="26"/>
        </w:rPr>
        <w:t xml:space="preserve">Finding 1 — The Year 1 CVE Surge Will Be Extreme</w:t>
      </w:r>
    </w:p>
    <w:p>
      <w:pPr>
        <w:spacing w:after="140" w:before="0"/>
      </w:pPr>
      <w:r>
        <w:rPr>
          <w:rFonts w:ascii="Arial" w:cs="Arial" w:eastAsia="Arial" w:hAnsi="Arial"/>
          <w:b w:val="false"/>
          <w:bCs w:val="false"/>
          <w:i w:val="false"/>
          <w:iCs w:val="false"/>
          <w:color w:val="000000"/>
          <w:sz w:val="22"/>
          <w:szCs w:val="22"/>
        </w:rPr>
        <w:t xml:space="preserve">Under Scenario 1, total CVE publications rise from 48,000 to 588,800 in Year 1 — a twelvefold increase. Under Scenario 2, the figure reaches 268,800 — a 5.6-fold increase. Even under Scenario 4, which reduces LLM capability to 60% and uses the Scenario 2 market size, Year 1 CVEs reach 201,600 — a 4.2-fold increase. The lower bound of this range is more than four times the annual CVE volume that NVD is currently structured to process.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Commentary suggesting a ‘short-term spike’ in CVEs understates the magnitude of this transition. The surge is not a transient fluctuation around a stable baseline: it represents the one-time exhaustion of a large legacy vulnerability pool concentrated into a single twelve-month window by LLM-accelerated scanning on both sides. The disruption to CVE processing infrastructure, threat intelligence pipelines, patch management workflows, and compliance reporting will be severe.</w:t>
      </w:r>
    </w:p>
    <w:p>
      <w:pPr>
        <w:spacing w:after="60" w:before="0"/>
      </w:pPr>
    </w:p>
    <w:p>
      <w:pPr>
        <w:pStyle w:val="Heading2"/>
        <w:spacing w:after="60" w:before="280"/>
      </w:pPr>
      <w:r>
        <w:rPr>
          <w:rFonts w:ascii="Arial" w:cs="Arial" w:eastAsia="Arial" w:hAnsi="Arial"/>
          <w:b/>
          <w:bCs/>
          <w:color w:val="2E5DA6"/>
          <w:sz w:val="26"/>
          <w:szCs w:val="26"/>
        </w:rPr>
        <w:t xml:space="preserve">Finding 2 — The Attacker Share of CVEs Rises Permanently to ~69%</w:t>
      </w:r>
    </w:p>
    <w:p>
      <w:pPr>
        <w:spacing w:after="140" w:before="0"/>
      </w:pPr>
      <w:r>
        <w:rPr>
          <w:rFonts w:ascii="Arial" w:cs="Arial" w:eastAsia="Arial" w:hAnsi="Arial"/>
          <w:b w:val="false"/>
          <w:bCs w:val="false"/>
          <w:i w:val="false"/>
          <w:iCs w:val="false"/>
          <w:color w:val="000000"/>
          <w:sz w:val="22"/>
          <w:szCs w:val="22"/>
        </w:rPr>
        <w:t xml:space="preserve">The most consequential finding is not the Year 1 volume, which is transient, but the long-run attacker share of CVEs, which is permanent. In both scenarios, the attacker share of published CVEs stabilises near 68.7% by Year 5. This is more than double the baseline of 33.3% and reflects a structural change in how vulnerabilities enter the CVE ecosystem.</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mechanism is straightforward. In the long run, once the existing pool has been exhausted, the CVE pipeline is driven almost entirely by new-software vulnerabilities. Within the new-software cohort, LLMs surface 80%: defenders find 80% of those and fix them silently, while attackers find 20% (CVEs). Each year, attackers contribute 12,800 CVEs from new software while defenders contribute only 8,000–9,000 CVEs from existing software — making attackers the dominant source of CVEs by a substantial margin.</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 CVE that originates with an attacker is not equivalent to one that originates with a defender: the attacker already has an exploit, has likely been silently using it, and may have shared it before disclosure. A CVE ecosystem that is 69% attacker-originated is a fundamentally different threat environment than one that is 33% attacker-originated, even if the total count is lower in absolute terms.</w:t>
      </w:r>
    </w:p>
    <w:p>
      <w:pPr>
        <w:spacing w:after="60" w:before="0"/>
      </w:pPr>
    </w:p>
    <w:p>
      <w:pPr>
        <w:pStyle w:val="Heading2"/>
        <w:spacing w:after="60" w:before="280"/>
      </w:pPr>
      <w:r>
        <w:rPr>
          <w:rFonts w:ascii="Arial" w:cs="Arial" w:eastAsia="Arial" w:hAnsi="Arial"/>
          <w:b/>
          <w:bCs/>
          <w:color w:val="2E5DA6"/>
          <w:sz w:val="26"/>
          <w:szCs w:val="26"/>
        </w:rPr>
        <w:t xml:space="preserve">Finding 3 — The Existing Pool Depletes in Year 1, Not Over Five Years</w:t>
      </w:r>
    </w:p>
    <w:p>
      <w:pPr>
        <w:spacing w:after="140" w:before="0"/>
      </w:pPr>
      <w:r>
        <w:rPr>
          <w:rFonts w:ascii="Arial" w:cs="Arial" w:eastAsia="Arial" w:hAnsi="Arial"/>
          <w:b w:val="false"/>
          <w:bCs w:val="false"/>
          <w:i w:val="false"/>
          <w:iCs w:val="false"/>
          <w:color w:val="000000"/>
          <w:sz w:val="22"/>
          <w:szCs w:val="22"/>
        </w:rPr>
        <w:t xml:space="preserve">In both scenarios, 90–91% of the existing vulnerability pool is exhausted in Year 1 alone. Scenario 1 depletes from 720,000 to 73,600; Scenario 2 from 1,520,000 to 137,600. This is driven by the high LLM find rate (80%) applied simultaneously to large portions of the pool by both vendors (60%) and attackers (40%). The long-run steady state is reached rapidly, not after a long transitional period.</w:t>
      </w:r>
    </w:p>
    <w:p>
      <w:pPr>
        <w:spacing w:after="60" w:before="0"/>
      </w:pPr>
    </w:p>
    <w:p>
      <w:pPr>
        <w:pStyle w:val="Heading2"/>
        <w:spacing w:after="60" w:before="280"/>
      </w:pPr>
      <w:r>
        <w:rPr>
          <w:rFonts w:ascii="Arial" w:cs="Arial" w:eastAsia="Arial" w:hAnsi="Arial"/>
          <w:b/>
          <w:bCs/>
          <w:color w:val="2E5DA6"/>
          <w:sz w:val="26"/>
          <w:szCs w:val="26"/>
        </w:rPr>
        <w:t xml:space="preserve">Finding 4 — The Long-Run Floor Is Set by New Software Alone</w:t>
      </w:r>
    </w:p>
    <w:p>
      <w:pPr>
        <w:spacing w:after="140" w:before="0"/>
      </w:pPr>
      <w:r>
        <w:rPr>
          <w:rFonts w:ascii="Arial" w:cs="Arial" w:eastAsia="Arial" w:hAnsi="Arial"/>
          <w:b w:val="false"/>
          <w:bCs w:val="false"/>
          <w:i w:val="false"/>
          <w:iCs w:val="false"/>
          <w:color w:val="000000"/>
          <w:sz w:val="22"/>
          <w:szCs w:val="22"/>
        </w:rPr>
        <w:t xml:space="preserve">The steady-state CVE count of approximately 26,000–27,000 per year is determined by the new-software residual: 80,000 new vulnerabilities introduced annually, of which 80% are LLM-discoverable, leaving 16,000 that escape scanning and carry into the existing pool each year. This floor is sensitive to the LLM miss rate and to the replenishment rate. Given Bitsight’s observation of a 38% increase in CVEs between 2023 and 2025, the replenishment rate may itself be rising, which would raise the floor.</w:t>
      </w:r>
    </w:p>
    <w:p>
      <w:pPr>
        <w:spacing w:after="60" w:before="0"/>
      </w:pPr>
    </w:p>
    <w:p>
      <w:pPr>
        <w:pStyle w:val="Heading2"/>
        <w:spacing w:after="60" w:before="280"/>
      </w:pPr>
      <w:r>
        <w:rPr>
          <w:rFonts w:ascii="Arial" w:cs="Arial" w:eastAsia="Arial" w:hAnsi="Arial"/>
          <w:b/>
          <w:bCs/>
          <w:color w:val="2E5DA6"/>
          <w:sz w:val="26"/>
          <w:szCs w:val="26"/>
        </w:rPr>
        <w:t xml:space="preserve">Finding 5 — Remediation Capacity Is the Binding Constraint</w:t>
      </w:r>
    </w:p>
    <w:p>
      <w:pPr>
        <w:spacing w:after="140" w:before="0"/>
      </w:pPr>
      <w:r>
        <w:rPr>
          <w:rFonts w:ascii="Arial" w:cs="Arial" w:eastAsia="Arial" w:hAnsi="Arial"/>
          <w:b w:val="false"/>
          <w:bCs w:val="false"/>
          <w:i w:val="false"/>
          <w:iCs w:val="false"/>
          <w:color w:val="000000"/>
          <w:sz w:val="22"/>
          <w:szCs w:val="22"/>
        </w:rPr>
        <w:t xml:space="preserve">Year 1 CVE volumes of 588,000–1,228,000 arriving into a pipeline currently processing 48,000 CVEs per year would not produce a proportional increase in patched vulnerabilities. They would produce a remediation backlog of historically unprecedented scale — compounding an already severe pre-LLM problem in which 45.4% of enterprise vulnerabilities remain unpatched after 12 months and the average fix time has risen to 252 days.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In practice, vendors facing this constraint are unlikely to respond by discovering vulnerabilities and sitting on them: disclosure obligations generally prevent this. Instead, they will self-throttle at the scanning stage, deliberately limiting how aggressively they apply LLMs to existing software to stay within what their engineering teams can patch and disclose. This is individually rational but collectively dangerous. It reduces the defender-side CVE signal without constraining attacker-side scanning in any way, widening the asymmetry between attacker knowledge and defender awareness beyond what the model baseline already projects.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Attackers — who need only find one unpatched instance of any disclosed vulnerability — would operate in an environment of permanent, expanding opportunity. A decline in the CVE count in Years 4 and 5 to approximately 27,000 per year should not be read as a restoration of security posture if the backlog from Year 1 remains largely unaddressed.</w:t>
      </w:r>
    </w:p>
    <w:p>
      <w:pPr>
        <w:spacing w:after="60" w:before="0"/>
      </w:pPr>
    </w:p>
    <w:p>
      <w:pPr>
        <w:pStyle w:val="Heading2"/>
        <w:spacing w:after="60" w:before="280"/>
      </w:pPr>
      <w:r>
        <w:rPr>
          <w:rFonts w:ascii="Arial" w:cs="Arial" w:eastAsia="Arial" w:hAnsi="Arial"/>
          <w:b/>
          <w:bCs/>
          <w:color w:val="2E5DA6"/>
          <w:sz w:val="26"/>
          <w:szCs w:val="26"/>
        </w:rPr>
        <w:t xml:space="preserve">Finding 6 — Reducing LLM Capability Does Not Avert the Surge</w:t>
      </w:r>
    </w:p>
    <w:p>
      <w:pPr>
        <w:spacing w:after="140" w:before="0"/>
      </w:pPr>
      <w:r>
        <w:rPr>
          <w:rFonts w:ascii="Arial" w:cs="Arial" w:eastAsia="Arial" w:hAnsi="Arial"/>
          <w:b w:val="false"/>
          <w:bCs w:val="false"/>
          <w:i w:val="false"/>
          <w:iCs w:val="false"/>
          <w:color w:val="000000"/>
          <w:sz w:val="22"/>
          <w:szCs w:val="22"/>
        </w:rPr>
        <w:t xml:space="preserve">Scenario 4 tests whether the CVE surge can be avoided by assuming LLMs find 60% of vulnerabilities rather than 80%, applied symmetrically to both vendors and attackers. The answer is no. Even at 60%, Year 1 CVEs range from 4.2× to 9.2× the pre-LLM baseline across market sizes. The most conservative combination — 60% LLM capability with the 20% discovery rate — still produces 201,600 Year 1 CVEs, more than four times the current pipeline capacity. For the Year 1 surge to remain within roughly twice the current baseline, LLM capability would need to be approximately 5–7% — essentially no better than current human-led scanning at scale, and inconsistent with what has already been publicly demonstrated.</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Two counterintuitive structural effects are worth noting. First, the Year 1 attacker share is identical under 60% and 80% LLM capability: because capability is reduced symmetrically, both sides are weakened proportionally and the attacker/defender ratio is preserved. A less capable LLM does not improve the attacker/defender balance in the year of peak disruption. Second, the long-run steady-state CVE floor is higher under 60% LLM (approximately 32,600 CVEs per year) than under 80% LLM (approximately 26,700), because more vulnerabilities escape scanning annually and accumulate in the persistent pool. The long-run attacker share is modestly lower at approximately 57.7% versus 68.7%, as the larger residual pool provides vendors more existing-software CVEs to find each year. A less capable LLM thus produces a larger, more durable CVE burden in the long run, not a smaller one.</w:t>
      </w:r>
    </w:p>
    <w:p>
      <w:pPr>
        <w:spacing w:after="80" w:before="0"/>
      </w:pPr>
    </w:p>
    <w:p>
      <w:pPr>
        <w:pStyle w:val="Heading1"/>
        <w:spacing w:after="80" w:before="440"/>
      </w:pPr>
      <w:r>
        <w:rPr>
          <w:rFonts w:ascii="Arial" w:cs="Arial" w:eastAsia="Arial" w:hAnsi="Arial"/>
          <w:b/>
          <w:bCs/>
          <w:color w:val="1F3864"/>
          <w:sz w:val="34"/>
          <w:szCs w:val="34"/>
        </w:rPr>
        <w:t xml:space="preserve">8. Scenario Comparison</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three scenarios bracket the uncertainty about the true size of the vulnerability market. All three agree on the qualitative dynamics and long-run equilibrium; they differ on the scale of Year 1 disruption.</w:t>
      </w:r>
    </w:p>
    <w:p>
      <w:pPr>
        <w:spacing w:after="5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B0BED0" w:sz="1"/>
              <w:left w:val="single" w:color="2E5DA6" w:sz="18"/>
              <w:bottom w:val="single" w:color="B0BED0" w:sz="1"/>
              <w:right w:val="single" w:color="B0BED0" w:sz="1"/>
            </w:tcBorders>
            <w:shd w:fill="EEF3FA" w:val="clear"/>
            <w:tcMar>
              <w:top w:type="dxa" w:w="120"/>
              <w:left w:type="dxa" w:w="200"/>
              <w:bottom w:type="dxa" w:w="120"/>
              <w:right w:type="dxa" w:w="200"/>
            </w:tcMar>
          </w:tcPr>
          <w:p>
            <w:pPr>
              <w:spacing w:after="80" w:before="0"/>
            </w:pPr>
            <w:r>
              <w:rPr>
                <w:rFonts w:ascii="Arial" w:cs="Arial" w:eastAsia="Arial" w:hAnsi="Arial"/>
                <w:b/>
                <w:bCs/>
                <w:color w:val="2E5DA6"/>
                <w:sz w:val="20"/>
                <w:szCs w:val="20"/>
              </w:rPr>
              <w:t xml:space="preserve">Where the Scenarios Agree</w:t>
            </w:r>
          </w:p>
          <w:p>
            <w:pPr>
              <w:pStyle w:val="ListParagraph"/>
              <w:numPr>
                <w:ilvl w:val="0"/>
                <w:numId w:val="2"/>
              </w:numPr>
              <w:spacing w:after="50" w:before="30"/>
            </w:pPr>
            <w:r>
              <w:rPr>
                <w:rFonts w:ascii="Arial" w:cs="Arial" w:eastAsia="Arial" w:hAnsi="Arial"/>
                <w:sz w:val="22"/>
                <w:szCs w:val="22"/>
              </w:rPr>
              <w:t xml:space="preserve">Pre-LLM baseline is identical: 48,000 CVEs/year, 16,000 attacker CVEs (33.3% share).</w:t>
            </w:r>
          </w:p>
          <w:p>
            <w:pPr>
              <w:pStyle w:val="ListParagraph"/>
              <w:numPr>
                <w:ilvl w:val="0"/>
                <w:numId w:val="2"/>
              </w:numPr>
              <w:spacing w:after="50" w:before="30"/>
            </w:pPr>
            <w:r>
              <w:rPr>
                <w:rFonts w:ascii="Arial" w:cs="Arial" w:eastAsia="Arial" w:hAnsi="Arial"/>
                <w:sz w:val="22"/>
                <w:szCs w:val="22"/>
              </w:rPr>
              <w:t xml:space="preserve">Year 1 produces a large CVE surge and substantial pool depletion (87–90% in a single year).</w:t>
            </w:r>
          </w:p>
          <w:p>
            <w:pPr>
              <w:pStyle w:val="ListParagraph"/>
              <w:numPr>
                <w:ilvl w:val="0"/>
                <w:numId w:val="2"/>
              </w:numPr>
              <w:spacing w:after="50" w:before="30"/>
            </w:pPr>
            <w:r>
              <w:rPr>
                <w:rFonts w:ascii="Arial" w:cs="Arial" w:eastAsia="Arial" w:hAnsi="Arial"/>
                <w:sz w:val="22"/>
                <w:szCs w:val="22"/>
              </w:rPr>
              <w:t xml:space="preserve">By Year 4–5, all three converge to ~26,000–27,000 CVEs/year and a ~68.7% attacker share.</w:t>
            </w:r>
          </w:p>
          <w:p>
            <w:pPr>
              <w:pStyle w:val="ListParagraph"/>
              <w:numPr>
                <w:ilvl w:val="0"/>
                <w:numId w:val="2"/>
              </w:numPr>
              <w:spacing w:after="0" w:before="30"/>
            </w:pPr>
            <w:r>
              <w:rPr>
                <w:rFonts w:ascii="Arial" w:cs="Arial" w:eastAsia="Arial" w:hAnsi="Arial"/>
                <w:sz w:val="22"/>
                <w:szCs w:val="22"/>
              </w:rPr>
              <w:t xml:space="preserve">The long-run attacker share (~69%) is more than double the pre-LLM baseline (33.3%) across all scenarios.</w:t>
            </w:r>
          </w:p>
        </w:tc>
      </w:tr>
    </w:tbl>
    <w:p>
      <w:pPr>
        <w:spacing w:after="50" w:before="0"/>
      </w:pPr>
    </w:p>
    <w:tbl>
      <w:tblPr>
        <w:tblW w:type="dxa" w:w="8660"/>
        <w:tblBorders>
          <w:top w:val="single" w:color="auto" w:sz="4"/>
          <w:left w:val="single" w:color="auto" w:sz="4"/>
          <w:bottom w:val="single" w:color="auto" w:sz="4"/>
          <w:right w:val="single" w:color="auto" w:sz="4"/>
          <w:insideH w:val="single" w:color="auto" w:sz="4"/>
          <w:insideV w:val="single" w:color="auto" w:sz="4"/>
        </w:tblBorders>
      </w:tblPr>
      <w:tblGrid>
        <w:gridCol w:w="8660"/>
      </w:tblGrid>
      <w:tr>
        <w:tc>
          <w:tcPr>
            <w:tcW w:type="dxa" w:w="8660"/>
            <w:tcBorders>
              <w:top w:val="single" w:color="C8A800" w:sz="1"/>
              <w:left w:val="single" w:color="C8A800" w:sz="18"/>
              <w:bottom w:val="single" w:color="C8A800" w:sz="1"/>
              <w:right w:val="single" w:color="C8A800" w:sz="1"/>
            </w:tcBorders>
            <w:shd w:fill="FFF8E8" w:val="clear"/>
            <w:tcMar>
              <w:top w:type="dxa" w:w="120"/>
              <w:left w:type="dxa" w:w="200"/>
              <w:bottom w:type="dxa" w:w="120"/>
              <w:right w:type="dxa" w:w="200"/>
            </w:tcMar>
          </w:tcPr>
          <w:p>
            <w:pPr>
              <w:spacing w:after="80" w:before="0"/>
            </w:pPr>
            <w:r>
              <w:rPr>
                <w:rFonts w:ascii="Arial" w:cs="Arial" w:eastAsia="Arial" w:hAnsi="Arial"/>
                <w:b/>
                <w:bCs/>
                <w:color w:val="7B5E00"/>
                <w:sz w:val="20"/>
                <w:szCs w:val="20"/>
              </w:rPr>
              <w:t xml:space="preserve">Where the Scenarios Differ</w:t>
            </w:r>
          </w:p>
          <w:p>
            <w:pPr>
              <w:pStyle w:val="ListParagraph"/>
              <w:numPr>
                <w:ilvl w:val="0"/>
                <w:numId w:val="2"/>
              </w:numPr>
              <w:spacing w:after="50" w:before="30"/>
            </w:pPr>
            <w:r>
              <w:rPr>
                <w:rFonts w:ascii="Arial" w:cs="Arial" w:eastAsia="Arial" w:hAnsi="Arial"/>
                <w:sz w:val="22"/>
                <w:szCs w:val="22"/>
              </w:rPr>
              <w:t xml:space="preserve">Year 1 total CVEs: 268,800 (S2) to 588,800 (S1), with S3 at 375,467 — a 2.2× range across scenarios.</w:t>
            </w:r>
          </w:p>
          <w:p>
            <w:pPr>
              <w:pStyle w:val="ListParagraph"/>
              <w:numPr>
                <w:ilvl w:val="0"/>
                <w:numId w:val="2"/>
              </w:numPr>
              <w:spacing w:after="50" w:before="30"/>
            </w:pPr>
            <w:r>
              <w:rPr>
                <w:rFonts w:ascii="Arial" w:cs="Arial" w:eastAsia="Arial" w:hAnsi="Arial"/>
                <w:sz w:val="22"/>
                <w:szCs w:val="22"/>
              </w:rPr>
              <w:t xml:space="preserve">Year 1 attacker CVEs: 115,200 (S2) to 243,200 (S1), with S3 at 157,867.</w:t>
            </w:r>
          </w:p>
          <w:p>
            <w:pPr>
              <w:pStyle w:val="ListParagraph"/>
              <w:numPr>
                <w:ilvl w:val="0"/>
                <w:numId w:val="2"/>
              </w:numPr>
              <w:spacing w:after="0" w:before="30"/>
            </w:pPr>
            <w:r>
              <w:rPr>
                <w:rFonts w:ascii="Arial" w:cs="Arial" w:eastAsia="Arial" w:hAnsi="Arial"/>
                <w:sz w:val="22"/>
                <w:szCs w:val="22"/>
              </w:rPr>
              <w:t xml:space="preserve">Even the most conservative scenario (S2) produces a Year 1 CVE count 5.6× the baseline, overwhelming existing processing capacity.</w:t>
            </w:r>
          </w:p>
        </w:tc>
      </w:tr>
    </w:tbl>
    <w:p>
      <w:pPr>
        <w:spacing w:after="80" w:before="0"/>
      </w:pPr>
    </w:p>
    <w:p>
      <w:pPr>
        <w:pStyle w:val="Heading1"/>
        <w:spacing w:after="80" w:before="440"/>
      </w:pPr>
      <w:r>
        <w:rPr>
          <w:rFonts w:ascii="Arial" w:cs="Arial" w:eastAsia="Arial" w:hAnsi="Arial"/>
          <w:b/>
          <w:bCs/>
          <w:color w:val="1F3864"/>
          <w:sz w:val="34"/>
          <w:szCs w:val="34"/>
        </w:rPr>
        <w:t xml:space="preserve">9. Limitations and Sensitivities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This model is deliberately stylised. Several simplifications warrant acknowledgement.</w:t>
      </w:r>
    </w:p>
    <w:p>
      <w:pPr>
        <w:spacing w:after="30" w:before="0"/>
      </w:pPr>
    </w:p>
    <w:p>
      <w:pPr>
        <w:pStyle w:val="ListParagraph"/>
        <w:numPr>
          <w:ilvl w:val="0"/>
          <w:numId w:val="2"/>
        </w:numPr>
        <w:spacing w:after="70" w:before="40"/>
      </w:pPr>
      <w:r>
        <w:rPr>
          <w:rFonts w:ascii="Arial" w:cs="Arial" w:eastAsia="Arial" w:hAnsi="Arial"/>
          <w:sz w:val="22"/>
          <w:szCs w:val="22"/>
        </w:rPr>
        <w:t xml:space="preserve">The 80% LLM discovery rate is applied uniformly. In practice LLM effectiveness varies substantially by codebase language, architecture, and vulnerability class. Memory safety vulnerabilities in C/C++ are likely more amenable to LLM detection than complex logic flaws in higher-level languages.</w:t>
      </w:r>
    </w:p>
    <w:p>
      <w:pPr>
        <w:pStyle w:val="ListParagraph"/>
        <w:numPr>
          <w:ilvl w:val="0"/>
          <w:numId w:val="2"/>
        </w:numPr>
        <w:spacing w:after="70" w:before="40"/>
      </w:pPr>
      <w:r>
        <w:rPr>
          <w:rFonts w:ascii="Arial" w:cs="Arial" w:eastAsia="Arial" w:hAnsi="Arial"/>
          <w:sz w:val="22"/>
          <w:szCs w:val="22"/>
        </w:rPr>
        <w:t xml:space="preserve">The 60% vendor adoption rate for existing software is an assumed parameter. The Year 1 surge is highly sensitive to this figure: higher adoption reduces attacker CVEs; lower adoption raises them.</w:t>
      </w:r>
    </w:p>
    <w:p>
      <w:pPr>
        <w:pStyle w:val="ListParagraph"/>
        <w:numPr>
          <w:ilvl w:val="0"/>
          <w:numId w:val="2"/>
        </w:numPr>
        <w:spacing w:after="70" w:before="40"/>
      </w:pPr>
      <w:r>
        <w:rPr>
          <w:rFonts w:ascii="Arial" w:cs="Arial" w:eastAsia="Arial" w:hAnsi="Arial"/>
          <w:sz w:val="22"/>
          <w:szCs w:val="22"/>
        </w:rPr>
        <w:t xml:space="preserve">The 80/20 defender/attacker split is derived from rediscovery and exploitation-timing data, which measure different aspects of the same phenomenon. The true first-finder split for the full CVE population is unknown; the 20% figure should be treated as an informed lower-bound estimate.</w:t>
      </w:r>
    </w:p>
    <w:p>
      <w:pPr>
        <w:pStyle w:val="ListParagraph"/>
        <w:numPr>
          <w:ilvl w:val="0"/>
          <w:numId w:val="2"/>
        </w:numPr>
        <w:spacing w:after="70" w:before="40"/>
      </w:pPr>
      <w:r>
        <w:rPr>
          <w:rFonts w:ascii="Arial" w:cs="Arial" w:eastAsia="Arial" w:hAnsi="Arial"/>
          <w:sz w:val="22"/>
          <w:szCs w:val="22"/>
        </w:rPr>
        <w:t xml:space="preserve">The model assumes simultaneous LLM adoption by defenders and attackers. If attackers adopt LLMs before vendors achieve 60% existing-software coverage, early-year attacker shares would be higher than shown; the reverse would reduce them.</w:t>
      </w:r>
    </w:p>
    <w:p>
      <w:pPr>
        <w:pStyle w:val="ListParagraph"/>
        <w:numPr>
          <w:ilvl w:val="0"/>
          <w:numId w:val="2"/>
        </w:numPr>
        <w:spacing w:after="70" w:before="40"/>
      </w:pPr>
      <w:r>
        <w:rPr>
          <w:rFonts w:ascii="Arial" w:cs="Arial" w:eastAsia="Arial" w:hAnsi="Arial"/>
          <w:sz w:val="22"/>
          <w:szCs w:val="22"/>
        </w:rPr>
        <w:t xml:space="preserve">The 50/50 new/existing split for discovered vulnerabilities is assumed. Evidence suggests the split may vary by product category and over time; a shift toward more existing-software discoveries would raise the baseline CVE count without changing the model structure.</w:t>
      </w:r>
    </w:p>
    <w:p>
      <w:pPr>
        <w:pStyle w:val="ListParagraph"/>
        <w:numPr>
          <w:ilvl w:val="0"/>
          <w:numId w:val="2"/>
        </w:numPr>
        <w:spacing w:after="70" w:before="40"/>
      </w:pPr>
      <w:r>
        <w:rPr>
          <w:rFonts w:ascii="Arial" w:cs="Arial" w:eastAsia="Arial" w:hAnsi="Arial"/>
          <w:sz w:val="22"/>
          <w:szCs w:val="22"/>
        </w:rPr>
        <w:t xml:space="preserve">The replenishment rate is held constant at 80,000 new vulnerabilities per year. Given the 38% growth in CVEs between 2023 and 2025 and the acceleration of AI-assisted software development, this figure may rise materially, raising the long-run floor.</w:t>
      </w:r>
    </w:p>
    <w:p>
      <w:pPr>
        <w:pStyle w:val="ListParagraph"/>
        <w:numPr>
          <w:ilvl w:val="0"/>
          <w:numId w:val="2"/>
        </w:numPr>
        <w:spacing w:after="70" w:before="40"/>
      </w:pPr>
      <w:r>
        <w:rPr>
          <w:rFonts w:ascii="Arial" w:cs="Arial" w:eastAsia="Arial" w:hAnsi="Arial"/>
          <w:sz w:val="22"/>
          <w:szCs w:val="22"/>
        </w:rPr>
        <w:t xml:space="preserve">No remediation model is incorporated. The projections describe disclosure volumes; the operationally relevant quantity for risk management is the remediation backlog, which would require a companion analysis.</w:t>
      </w:r>
    </w:p>
    <w:p>
      <w:pPr>
        <w:pStyle w:val="ListParagraph"/>
        <w:numPr>
          <w:ilvl w:val="0"/>
          <w:numId w:val="2"/>
        </w:numPr>
        <w:spacing w:after="70" w:before="40"/>
      </w:pPr>
      <w:r>
        <w:rPr>
          <w:rFonts w:ascii="Arial" w:cs="Arial" w:eastAsia="Arial" w:hAnsi="Arial"/>
          <w:sz w:val="22"/>
          <w:szCs w:val="22"/>
        </w:rPr>
        <w:t xml:space="preserve">The model does not incorporate vendor self-throttling at the discovery stage. Because disclosure obligations prevent vendors from accumulating undisclosed known vulnerabilities, real-world CVE volumes may be lower than projected as vendors deliberately pace their scanning to match patching capacity. This would reduce published CVE counts while simultaneously leaving the unscanned portion exposed to attacker discovery, making the attacker share finding more pronounced in practice than in the model.</w:t>
      </w:r>
    </w:p>
    <w:p>
      <w:pPr>
        <w:spacing w:after="80" w:before="0"/>
      </w:pPr>
    </w:p>
    <w:p>
      <w:pPr>
        <w:pStyle w:val="Heading1"/>
        <w:spacing w:after="80" w:before="440"/>
      </w:pPr>
      <w:r>
        <w:rPr>
          <w:rFonts w:ascii="Arial" w:cs="Arial" w:eastAsia="Arial" w:hAnsi="Arial"/>
          <w:b/>
          <w:bCs/>
          <w:color w:val="1F3864"/>
          <w:sz w:val="34"/>
          <w:szCs w:val="34"/>
        </w:rPr>
        <w:t xml:space="preserve">10. Conclusions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This paper has developed the first systematic multi-year model of how LLM-enabled vulnerability discovery will reshape the CVE landscape. The findings go substantially beyond near-term commentary about a likely increase in CVE volumes.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 Year 1 CVE surge — between twelve and twenty-five times the pre-LLM baseline of 48,000 — is not a spike that will resolve itself quickly. It will produce a remediation backlog of historically unprecedented scale. The long-run equilibrium that follows is not a return to normalcy but a structurally different threat environment: fewer CVEs per year than the Year 1 peak, but approximately seven in ten CVEs originating with attackers, compared to one in three today.</w:t>
      </w:r>
    </w:p>
    <w:p>
      <w:pPr>
        <w:spacing w:after="30" w:before="0"/>
      </w:pPr>
    </w:p>
    <w:p>
      <w:pPr>
        <w:spacing w:after="140" w:before="0"/>
      </w:pPr>
      <w:r>
        <w:rPr>
          <w:rFonts w:ascii="Arial" w:cs="Arial" w:eastAsia="Arial" w:hAnsi="Arial"/>
          <w:b w:val="false"/>
          <w:bCs w:val="false"/>
          <w:i w:val="false"/>
          <w:iCs w:val="false"/>
          <w:color w:val="000000"/>
          <w:sz w:val="22"/>
          <w:szCs w:val="22"/>
        </w:rPr>
        <w:t xml:space="preserve">These findings have direct implications for security strategy. Organisations that rely on CVE volumes as a proxy for threat intensity should recalibrate: a falling CVE count after Year 1 does not mean improving security posture if the attacker fraction is rising. The fraction of CVEs representing attacker-first discoveries becomes the operationally critical signal. Remediation capacity — already failing to keep pace before LLM disruption — becomes the binding limit on how much of the disclosed risk can actually be addressed. And the CVE programme itself, built to process tens of thousands of disclosures per year, will require fundamental redesign to function at the volumes this model projects.</w:t>
      </w:r>
    </w:p>
    <w:p>
      <w:pPr>
        <w:spacing w:after="30" w:before="0"/>
      </w:pPr>
    </w:p>
    <w:p>
      <w:pPr>
        <w:spacing w:after="140" w:before="0"/>
      </w:pPr>
      <w:r>
        <w:rPr>
          <w:rFonts w:ascii="Arial" w:cs="Arial" w:eastAsia="Arial" w:hAnsi="Arial"/>
          <w:b w:val="false"/>
          <w:bCs w:val="false"/>
          <w:i w:val="false"/>
          <w:iCs w:val="false"/>
          <w:color w:val="000000"/>
          <w:sz w:val="22"/>
          <w:szCs w:val="22"/>
        </w:rPr>
        <w:t xml:space="preserve">A further implication concerns the interaction between remediation capacity and disclosure obligations. Vendors who cannot patch at the rate LLMs can discover will not accumulate undisclosed backlogs — regulatory frameworks make this untenable. They will instead self-throttle at the scanning stage, deliberately limiting how much existing software they scan to stay within patching capacity. This is individually rational but collectively counterproductive: it limits the defender-side CVE signal without constraining attacker-side scanning at all, widening the gap between what attackers know and what the defender community has been warned about. Strengthening remediation capacity — through automated patching, coordinated triage, and the application of LLMs to patch generation as well as discovery — is therefore a prerequisite for realising the security benefits of AI-enabled discovery rather than amplifying its risks.</w:t>
      </w:r>
    </w:p>
    <w:p>
      <w:pPr>
        <w:spacing w:after="80" w:before="0"/>
      </w:pPr>
    </w:p>
    <w:p>
      <w:pPr>
        <w:pStyle w:val="Heading1"/>
        <w:spacing w:after="80" w:before="440"/>
      </w:pPr>
      <w:r>
        <w:rPr>
          <w:rFonts w:ascii="Arial" w:cs="Arial" w:eastAsia="Arial" w:hAnsi="Arial"/>
          <w:b/>
          <w:bCs/>
          <w:color w:val="1F3864"/>
          <w:sz w:val="34"/>
          <w:szCs w:val="34"/>
        </w:rPr>
        <w:t xml:space="preserve">References</w:t>
      </w:r>
    </w:p>
    <w:p>
      <w:pPr>
        <w:spacing w:after="20" w:before="0"/>
      </w:pPr>
    </w:p>
    <w:p>
      <w:pPr>
        <w:spacing w:after="140" w:before="0"/>
      </w:pPr>
      <w:r>
        <w:rPr>
          <w:rFonts w:ascii="Arial" w:cs="Arial" w:eastAsia="Arial" w:hAnsi="Arial"/>
          <w:b w:val="false"/>
          <w:bCs w:val="false"/>
          <w:i w:val="false"/>
          <w:iCs w:val="false"/>
          <w:color w:val="595959"/>
          <w:sz w:val="22"/>
          <w:szCs w:val="22"/>
        </w:rPr>
        <w:t xml:space="preserve">Ablon, L. and Bogart, A. (2017). Zero Days, Thousands of Nights: The Life and Times of Zero-Day Vulnerabilities and Their Exploits. RAND Corporation.</w:t>
      </w:r>
    </w:p>
    <w:p>
      <w:pPr>
        <w:spacing w:after="10" w:before="0"/>
      </w:pPr>
    </w:p>
    <w:p>
      <w:pPr>
        <w:spacing w:after="140" w:before="0"/>
      </w:pPr>
      <w:r>
        <w:rPr>
          <w:rFonts w:ascii="Arial" w:cs="Arial" w:eastAsia="Arial" w:hAnsi="Arial"/>
          <w:b w:val="false"/>
          <w:bCs w:val="false"/>
          <w:i w:val="false"/>
          <w:iCs w:val="false"/>
          <w:color w:val="595959"/>
          <w:sz w:val="22"/>
          <w:szCs w:val="22"/>
        </w:rPr>
        <w:t xml:space="preserve">Bitsight (2025). CVE Trends by Industry Sector. Bitsight Research.</w:t>
      </w:r>
    </w:p>
    <w:p>
      <w:pPr>
        <w:spacing w:after="10" w:before="0"/>
      </w:pPr>
    </w:p>
    <w:p>
      <w:pPr>
        <w:spacing w:after="140" w:before="0"/>
      </w:pPr>
      <w:r>
        <w:rPr>
          <w:rFonts w:ascii="Arial" w:cs="Arial" w:eastAsia="Arial" w:hAnsi="Arial"/>
          <w:b w:val="false"/>
          <w:bCs w:val="false"/>
          <w:i w:val="false"/>
          <w:iCs w:val="false"/>
          <w:color w:val="595959"/>
          <w:sz w:val="22"/>
          <w:szCs w:val="22"/>
        </w:rPr>
        <w:t xml:space="preserve">Computers &amp; Security (2023). An analysis of how many undiscovered vulnerabilities remain in information systems. ScienceDirect.</w:t>
      </w:r>
    </w:p>
    <w:p>
      <w:pPr>
        <w:spacing w:after="10" w:before="0"/>
      </w:pPr>
    </w:p>
    <w:p>
      <w:pPr>
        <w:spacing w:after="140" w:before="0"/>
      </w:pPr>
      <w:r>
        <w:rPr>
          <w:rFonts w:ascii="Arial" w:cs="Arial" w:eastAsia="Arial" w:hAnsi="Arial"/>
          <w:b w:val="false"/>
          <w:bCs w:val="false"/>
          <w:i w:val="false"/>
          <w:iCs w:val="false"/>
          <w:color w:val="595959"/>
          <w:sz w:val="22"/>
          <w:szCs w:val="22"/>
        </w:rPr>
        <w:t xml:space="preserve">Edgescan (2025). 2025 Vulnerability Statistics Report.</w:t>
      </w:r>
    </w:p>
    <w:p>
      <w:pPr>
        <w:spacing w:after="10" w:before="0"/>
      </w:pPr>
    </w:p>
    <w:p>
      <w:pPr>
        <w:spacing w:after="140" w:before="0"/>
      </w:pPr>
      <w:r>
        <w:rPr>
          <w:rFonts w:ascii="Arial" w:cs="Arial" w:eastAsia="Arial" w:hAnsi="Arial"/>
          <w:b w:val="false"/>
          <w:bCs w:val="false"/>
          <w:i w:val="false"/>
          <w:iCs w:val="false"/>
          <w:color w:val="595959"/>
          <w:sz w:val="22"/>
          <w:szCs w:val="22"/>
        </w:rPr>
        <w:t xml:space="preserve">HackerOne (2025). Internet Bug Bounty programme suspension notice.</w:t>
      </w:r>
    </w:p>
    <w:p>
      <w:pPr>
        <w:spacing w:after="10" w:before="0"/>
      </w:pPr>
    </w:p>
    <w:p>
      <w:pPr>
        <w:spacing w:after="140" w:before="0"/>
      </w:pPr>
      <w:r>
        <w:rPr>
          <w:rFonts w:ascii="Arial" w:cs="Arial" w:eastAsia="Arial" w:hAnsi="Arial"/>
          <w:b w:val="false"/>
          <w:bCs w:val="false"/>
          <w:i w:val="false"/>
          <w:iCs w:val="false"/>
          <w:color w:val="595959"/>
          <w:sz w:val="22"/>
          <w:szCs w:val="22"/>
        </w:rPr>
        <w:t xml:space="preserve">Herr, T., Schneier, B. and Morris, C. (2017). Taking Stock: Estimating Vulnerability Rediscovery. Harvard Kennedy School / Black Hat USA 2017.</w:t>
      </w:r>
    </w:p>
    <w:p>
      <w:pPr>
        <w:spacing w:after="10" w:before="0"/>
      </w:pPr>
    </w:p>
    <w:p>
      <w:pPr>
        <w:spacing w:after="140" w:before="0"/>
      </w:pPr>
      <w:r>
        <w:rPr>
          <w:rFonts w:ascii="Arial" w:cs="Arial" w:eastAsia="Arial" w:hAnsi="Arial"/>
          <w:b w:val="false"/>
          <w:bCs w:val="false"/>
          <w:i w:val="false"/>
          <w:iCs w:val="false"/>
          <w:color w:val="595959"/>
          <w:sz w:val="22"/>
          <w:szCs w:val="22"/>
        </w:rPr>
        <w:t xml:space="preserve">Mozilla (2025). Firefox vulnerability disclosure: AI-assisted discovery by Anthropic Claude.</w:t>
      </w:r>
    </w:p>
    <w:p>
      <w:pPr>
        <w:spacing w:after="10" w:before="0"/>
      </w:pPr>
    </w:p>
    <w:p>
      <w:pPr>
        <w:spacing w:after="140" w:before="0"/>
      </w:pPr>
      <w:r>
        <w:rPr>
          <w:rFonts w:ascii="Arial" w:cs="Arial" w:eastAsia="Arial" w:hAnsi="Arial"/>
          <w:b w:val="false"/>
          <w:bCs w:val="false"/>
          <w:i w:val="false"/>
          <w:iCs w:val="false"/>
          <w:color w:val="595959"/>
          <w:sz w:val="22"/>
          <w:szCs w:val="22"/>
        </w:rPr>
        <w:t xml:space="preserve">Palo Alto Networks (2020). Vulnerability and Exploit Trends Report.</w:t>
      </w:r>
    </w:p>
    <w:p>
      <w:pPr>
        <w:spacing w:after="10" w:before="0"/>
      </w:pPr>
    </w:p>
    <w:p>
      <w:pPr>
        <w:spacing w:after="140" w:before="0"/>
      </w:pPr>
      <w:r>
        <w:rPr>
          <w:rFonts w:ascii="Arial" w:cs="Arial" w:eastAsia="Arial" w:hAnsi="Arial"/>
          <w:b w:val="false"/>
          <w:bCs w:val="false"/>
          <w:i w:val="false"/>
          <w:iCs w:val="false"/>
          <w:color w:val="595959"/>
          <w:sz w:val="22"/>
          <w:szCs w:val="22"/>
        </w:rPr>
        <w:t xml:space="preserve">Veracode (2026). State of Software Security 2026: Prioritize, Protect, Prove.</w:t>
      </w:r>
    </w:p>
    <w:p>
      <w:pPr>
        <w:spacing w:after="10" w:before="0"/>
      </w:pPr>
    </w:p>
    <w:p>
      <w:pPr>
        <w:spacing w:after="140" w:before="0"/>
      </w:pPr>
      <w:r>
        <w:rPr>
          <w:rFonts w:ascii="Arial" w:cs="Arial" w:eastAsia="Arial" w:hAnsi="Arial"/>
          <w:b w:val="false"/>
          <w:bCs w:val="false"/>
          <w:i w:val="false"/>
          <w:iCs w:val="false"/>
          <w:color w:val="595959"/>
          <w:sz w:val="22"/>
          <w:szCs w:val="22"/>
        </w:rPr>
        <w:t xml:space="preserve">VulnCheck (2025). Known Exploited Vulnerabilities Intelligence Report H1 2025.</w:t>
      </w:r>
    </w:p>
    <w:p>
      <w:pPr>
        <w:spacing w:after="80" w:before="0"/>
      </w:pP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0BED0" w:sz="4" w:space="4"/>
      </w:pBdr>
      <w:tabs>
        <w:tab w:val="right" w:pos="9360"/>
      </w:tabs>
      <w:spacing w:before="80"/>
    </w:pPr>
    <w:r>
      <w:rPr>
        <w:rFonts w:ascii="Arial" w:cs="Arial" w:eastAsia="Arial" w:hAnsi="Arial"/>
        <w:color w:val="595959"/>
        <w:sz w:val="18"/>
        <w:szCs w:val="18"/>
      </w:rPr>
      <w:t xml:space="preserve">AI-Enabled Vulnerability Discovery: A Five-Year CVE Projection (Four Scenarios)  —  April 2026</w:t>
    </w:r>
    <w:r>
      <w:rPr>
        <w:rFonts w:ascii="Arial" w:cs="Arial" w:eastAsia="Arial" w:hAnsi="Arial"/>
        <w:color w:val="595959"/>
        <w:sz w:val="18"/>
        <w:szCs w:val="18"/>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440"/>
      <w:outlineLvl w:val="0"/>
    </w:pPr>
    <w:rPr>
      <w:rFonts w:ascii="Arial" w:cs="Arial" w:eastAsia="Arial" w:hAnsi="Arial"/>
      <w:b/>
      <w:bCs/>
      <w:color w:val="1F3864"/>
      <w:sz w:val="34"/>
      <w:szCs w:val="34"/>
    </w:rPr>
  </w:style>
  <w:style w:type="paragraph" w:styleId="Heading2">
    <w:name w:val="Heading 2"/>
    <w:basedOn w:val="Normal"/>
    <w:next w:val="Normal"/>
    <w:qFormat/>
    <w:pPr>
      <w:spacing w:after="60" w:before="280"/>
      <w:outlineLvl w:val="1"/>
    </w:pPr>
    <w:rPr>
      <w:rFonts w:ascii="Arial" w:cs="Arial" w:eastAsia="Arial" w:hAnsi="Arial"/>
      <w:b/>
      <w:bCs/>
      <w:color w:val="2E5DA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2026-04-20T19:00:27.082Z</dcterms:created>
  <dcterms:modified xsi:type="dcterms:W3CDTF">2026-04-20T19:00:27.083Z</dcterms:modified>
</cp:coreProperties>
</file>

<file path=docProps/custom.xml><?xml version="1.0" encoding="utf-8"?>
<Properties xmlns="http://schemas.openxmlformats.org/officeDocument/2006/custom-properties" xmlns:vt="http://schemas.openxmlformats.org/officeDocument/2006/docPropsVTypes"/>
</file>